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E942" w14:textId="77777777" w:rsidR="00FA1385" w:rsidRDefault="00FA1385" w:rsidP="00C24E42">
      <w:pPr>
        <w:jc w:val="center"/>
        <w:rPr>
          <w:rFonts w:cs="GE Jarida Heavy"/>
          <w:color w:val="000000" w:themeColor="text1"/>
          <w:sz w:val="58"/>
          <w:szCs w:val="58"/>
          <w:rtl/>
          <w:lang w:bidi="ar-EG"/>
        </w:rPr>
      </w:pPr>
    </w:p>
    <w:p w14:paraId="4BAD3463" w14:textId="77777777" w:rsidR="00491EF4" w:rsidRPr="009C4D0A" w:rsidRDefault="00491EF4" w:rsidP="00C24E42">
      <w:pPr>
        <w:jc w:val="center"/>
        <w:rPr>
          <w:rFonts w:cs="GE Jarida Heavy"/>
          <w:color w:val="000000" w:themeColor="text1"/>
          <w:sz w:val="58"/>
          <w:szCs w:val="58"/>
          <w:rtl/>
          <w:lang w:bidi="ar-EG"/>
        </w:rPr>
      </w:pPr>
    </w:p>
    <w:p w14:paraId="578120F6" w14:textId="5675F5CF" w:rsidR="00C75D92" w:rsidRPr="00491EF4" w:rsidRDefault="00C75D92" w:rsidP="00C24E42">
      <w:pPr>
        <w:jc w:val="center"/>
        <w:rPr>
          <w:rFonts w:ascii="Simplified Arabic" w:hAnsi="Simplified Arabic"/>
          <w:b/>
          <w:bCs/>
          <w:color w:val="000000" w:themeColor="text1"/>
          <w:sz w:val="40"/>
          <w:szCs w:val="40"/>
          <w:rtl/>
          <w:lang w:bidi="ar-EG"/>
        </w:rPr>
      </w:pPr>
      <w:r w:rsidRPr="00491EF4">
        <w:rPr>
          <w:rFonts w:ascii="Simplified Arabic" w:hAnsi="Simplified Arabic"/>
          <w:b/>
          <w:bCs/>
          <w:color w:val="000000" w:themeColor="text1"/>
          <w:sz w:val="40"/>
          <w:szCs w:val="40"/>
          <w:rtl/>
          <w:lang w:bidi="ar-EG"/>
        </w:rPr>
        <w:t xml:space="preserve">أثر الإفصاح المحاسبي لبنود الدخل الشامل </w:t>
      </w:r>
      <w:r w:rsidR="00491EF4">
        <w:rPr>
          <w:rFonts w:ascii="Simplified Arabic" w:hAnsi="Simplified Arabic" w:hint="cs"/>
          <w:b/>
          <w:bCs/>
          <w:color w:val="000000" w:themeColor="text1"/>
          <w:sz w:val="40"/>
          <w:szCs w:val="40"/>
          <w:rtl/>
          <w:lang w:bidi="ar-EG"/>
        </w:rPr>
        <w:br/>
      </w:r>
      <w:r w:rsidRPr="00491EF4">
        <w:rPr>
          <w:rFonts w:ascii="Simplified Arabic" w:hAnsi="Simplified Arabic"/>
          <w:b/>
          <w:bCs/>
          <w:color w:val="000000" w:themeColor="text1"/>
          <w:sz w:val="40"/>
          <w:szCs w:val="40"/>
          <w:rtl/>
          <w:lang w:bidi="ar-EG"/>
        </w:rPr>
        <w:t xml:space="preserve">على </w:t>
      </w:r>
      <w:proofErr w:type="spellStart"/>
      <w:r w:rsidRPr="00491EF4">
        <w:rPr>
          <w:rFonts w:ascii="Simplified Arabic" w:hAnsi="Simplified Arabic"/>
          <w:b/>
          <w:bCs/>
          <w:color w:val="000000" w:themeColor="text1"/>
          <w:sz w:val="40"/>
          <w:szCs w:val="40"/>
          <w:rtl/>
          <w:lang w:bidi="ar-EG"/>
        </w:rPr>
        <w:t>إتجاهات</w:t>
      </w:r>
      <w:proofErr w:type="spellEnd"/>
      <w:r w:rsidRPr="00491EF4">
        <w:rPr>
          <w:rFonts w:ascii="Simplified Arabic" w:hAnsi="Simplified Arabic"/>
          <w:b/>
          <w:bCs/>
          <w:color w:val="000000" w:themeColor="text1"/>
          <w:sz w:val="40"/>
          <w:szCs w:val="40"/>
          <w:rtl/>
          <w:lang w:bidi="ar-EG"/>
        </w:rPr>
        <w:t xml:space="preserve"> أسعار الأسهم </w:t>
      </w:r>
    </w:p>
    <w:p w14:paraId="0FDA6E5D" w14:textId="1EC152E4" w:rsidR="00C75D92" w:rsidRPr="00491EF4" w:rsidRDefault="00C75D92" w:rsidP="00C24E42">
      <w:pPr>
        <w:jc w:val="center"/>
        <w:rPr>
          <w:rFonts w:ascii="Simplified Arabic" w:hAnsi="Simplified Arabic"/>
          <w:b/>
          <w:bCs/>
          <w:color w:val="000000" w:themeColor="text1"/>
          <w:sz w:val="40"/>
          <w:szCs w:val="40"/>
          <w:rtl/>
          <w:lang w:bidi="ar-EG"/>
        </w:rPr>
      </w:pPr>
      <w:r w:rsidRPr="00491EF4">
        <w:rPr>
          <w:rFonts w:ascii="Simplified Arabic" w:hAnsi="Simplified Arabic"/>
          <w:b/>
          <w:bCs/>
          <w:color w:val="000000" w:themeColor="text1"/>
          <w:sz w:val="40"/>
          <w:szCs w:val="40"/>
          <w:rtl/>
          <w:lang w:bidi="ar-EG"/>
        </w:rPr>
        <w:t>- دراسة اختبارية -</w:t>
      </w:r>
    </w:p>
    <w:p w14:paraId="485B4C56" w14:textId="77777777" w:rsidR="00FA1385" w:rsidRDefault="00FA1385" w:rsidP="00C24E42">
      <w:pPr>
        <w:jc w:val="center"/>
        <w:rPr>
          <w:rFonts w:cs="GE Jarida Heavy"/>
          <w:color w:val="000000" w:themeColor="text1"/>
          <w:sz w:val="58"/>
          <w:szCs w:val="58"/>
          <w:rtl/>
          <w:lang w:bidi="ar-EG"/>
        </w:rPr>
      </w:pPr>
    </w:p>
    <w:p w14:paraId="2C035516" w14:textId="77777777" w:rsidR="00491EF4" w:rsidRDefault="00491EF4" w:rsidP="00C24E42">
      <w:pPr>
        <w:jc w:val="center"/>
        <w:rPr>
          <w:rFonts w:cs="GE Jarida Heavy"/>
          <w:color w:val="000000" w:themeColor="text1"/>
          <w:sz w:val="58"/>
          <w:szCs w:val="58"/>
          <w:rtl/>
          <w:lang w:bidi="ar-EG"/>
        </w:rPr>
      </w:pPr>
    </w:p>
    <w:p w14:paraId="16E4038A" w14:textId="77777777" w:rsidR="00491EF4" w:rsidRDefault="00491EF4" w:rsidP="00C24E42">
      <w:pPr>
        <w:jc w:val="center"/>
        <w:rPr>
          <w:rFonts w:cs="GE Jarida Heavy"/>
          <w:color w:val="000000" w:themeColor="text1"/>
          <w:sz w:val="58"/>
          <w:szCs w:val="58"/>
          <w:rtl/>
          <w:lang w:bidi="ar-EG"/>
        </w:rPr>
      </w:pPr>
    </w:p>
    <w:p w14:paraId="446870BE" w14:textId="77777777" w:rsidR="00491EF4" w:rsidRPr="009C4D0A" w:rsidRDefault="00491EF4" w:rsidP="00C24E42">
      <w:pPr>
        <w:jc w:val="center"/>
        <w:rPr>
          <w:rFonts w:cs="GE Jarida Heavy"/>
          <w:color w:val="000000" w:themeColor="text1"/>
          <w:sz w:val="58"/>
          <w:szCs w:val="58"/>
          <w:rtl/>
          <w:lang w:bidi="ar-EG"/>
        </w:rPr>
      </w:pPr>
    </w:p>
    <w:p w14:paraId="718C6465" w14:textId="77777777" w:rsidR="00CD569F" w:rsidRPr="009C4D0A" w:rsidRDefault="00CD569F" w:rsidP="00C24E42">
      <w:pPr>
        <w:jc w:val="center"/>
        <w:rPr>
          <w:rFonts w:cs="GE Jarida Heavy"/>
          <w:color w:val="000000" w:themeColor="text1"/>
          <w:sz w:val="58"/>
          <w:szCs w:val="58"/>
          <w:rtl/>
          <w:lang w:bidi="ar-EG"/>
        </w:rPr>
      </w:pPr>
    </w:p>
    <w:p w14:paraId="0DD88F81" w14:textId="5C02253B" w:rsidR="00FA1385" w:rsidRPr="009C4D0A" w:rsidRDefault="00C75D92" w:rsidP="00C24E42">
      <w:pPr>
        <w:jc w:val="both"/>
        <w:rPr>
          <w:b/>
          <w:bCs/>
          <w:color w:val="000000" w:themeColor="text1"/>
          <w:rtl/>
          <w:lang w:bidi="ar-JO"/>
        </w:rPr>
      </w:pPr>
      <w:r w:rsidRPr="009C4D0A">
        <w:rPr>
          <w:rFonts w:ascii="Simplified Arabic" w:hAnsi="Simplified Arabic" w:hint="cs"/>
          <w:b/>
          <w:bCs/>
          <w:color w:val="000000" w:themeColor="text1"/>
          <w:sz w:val="40"/>
          <w:szCs w:val="40"/>
          <w:rtl/>
          <w:lang w:bidi="ar-EG"/>
        </w:rPr>
        <w:t xml:space="preserve"> </w:t>
      </w:r>
    </w:p>
    <w:p w14:paraId="4805EE74" w14:textId="77777777" w:rsidR="00FA1385" w:rsidRPr="009C4D0A" w:rsidRDefault="00FA1385" w:rsidP="00C24E42">
      <w:pPr>
        <w:tabs>
          <w:tab w:val="center" w:pos="3685"/>
          <w:tab w:val="left" w:pos="4475"/>
        </w:tabs>
        <w:rPr>
          <w:rFonts w:ascii="Simplified Arabic" w:hAnsi="Simplified Arabic"/>
          <w:b/>
          <w:bCs/>
          <w:color w:val="000000" w:themeColor="text1"/>
        </w:rPr>
      </w:pPr>
      <w:r w:rsidRPr="009C4D0A">
        <w:rPr>
          <w:rFonts w:ascii="Simplified Arabic" w:hAnsi="Simplified Arabic"/>
          <w:b/>
          <w:bCs/>
          <w:color w:val="000000" w:themeColor="text1"/>
          <w:rtl/>
        </w:rPr>
        <w:tab/>
      </w:r>
    </w:p>
    <w:p w14:paraId="2699A086" w14:textId="77777777" w:rsidR="00FA1385" w:rsidRPr="009C4D0A" w:rsidRDefault="00FA1385" w:rsidP="00C24E42">
      <w:pPr>
        <w:jc w:val="center"/>
        <w:rPr>
          <w:rFonts w:ascii="Simplified Arabic" w:hAnsi="Simplified Arabic"/>
          <w:b/>
          <w:bCs/>
          <w:color w:val="000000" w:themeColor="text1"/>
          <w:rtl/>
        </w:rPr>
      </w:pPr>
    </w:p>
    <w:p w14:paraId="6EAFF9FC" w14:textId="77777777" w:rsidR="00CD569F" w:rsidRDefault="00CD569F" w:rsidP="00C24E42">
      <w:pPr>
        <w:jc w:val="center"/>
        <w:rPr>
          <w:rFonts w:ascii="Simplified Arabic" w:hAnsi="Simplified Arabic"/>
          <w:b/>
          <w:bCs/>
          <w:color w:val="000000" w:themeColor="text1"/>
          <w:rtl/>
        </w:rPr>
      </w:pPr>
    </w:p>
    <w:p w14:paraId="7A68FCD6" w14:textId="77777777" w:rsidR="00491EF4" w:rsidRDefault="00491EF4" w:rsidP="00C24E42">
      <w:pPr>
        <w:jc w:val="center"/>
        <w:rPr>
          <w:rFonts w:ascii="Simplified Arabic" w:hAnsi="Simplified Arabic"/>
          <w:b/>
          <w:bCs/>
          <w:color w:val="000000" w:themeColor="text1"/>
          <w:rtl/>
        </w:rPr>
      </w:pPr>
    </w:p>
    <w:p w14:paraId="28B8915C" w14:textId="77777777" w:rsidR="00491EF4" w:rsidRPr="009C4D0A" w:rsidRDefault="00491EF4" w:rsidP="00C24E42">
      <w:pPr>
        <w:jc w:val="center"/>
        <w:rPr>
          <w:rFonts w:ascii="Simplified Arabic" w:hAnsi="Simplified Arabic"/>
          <w:b/>
          <w:bCs/>
          <w:color w:val="000000" w:themeColor="text1"/>
          <w:rtl/>
        </w:rPr>
      </w:pPr>
    </w:p>
    <w:tbl>
      <w:tblPr>
        <w:tblStyle w:val="TableGrid"/>
        <w:bidiVisual/>
        <w:tblW w:w="90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gridCol w:w="2835"/>
        <w:gridCol w:w="2836"/>
      </w:tblGrid>
      <w:tr w:rsidR="00EA1E60" w14:paraId="5770F96A" w14:textId="77777777" w:rsidTr="00491EF4">
        <w:trPr>
          <w:jc w:val="center"/>
        </w:trPr>
        <w:tc>
          <w:tcPr>
            <w:tcW w:w="3367" w:type="dxa"/>
          </w:tcPr>
          <w:p w14:paraId="786B8A1D" w14:textId="2A62F2EA" w:rsidR="00EA1E60" w:rsidRPr="00491EF4" w:rsidRDefault="00EA1E60" w:rsidP="00C24E42">
            <w:pPr>
              <w:jc w:val="center"/>
              <w:rPr>
                <w:rFonts w:ascii="Simplified Arabic" w:hAnsi="Simplified Arabic"/>
                <w:b/>
                <w:bCs/>
                <w:color w:val="000000" w:themeColor="text1"/>
                <w:sz w:val="32"/>
                <w:szCs w:val="32"/>
                <w:rtl/>
              </w:rPr>
            </w:pPr>
            <w:r w:rsidRPr="00491EF4">
              <w:rPr>
                <w:rFonts w:ascii="Simplified Arabic" w:hAnsi="Simplified Arabic"/>
                <w:b/>
                <w:bCs/>
                <w:color w:val="000000" w:themeColor="text1"/>
                <w:sz w:val="32"/>
                <w:szCs w:val="32"/>
                <w:rtl/>
                <w:lang w:bidi="ar-EG"/>
              </w:rPr>
              <w:t xml:space="preserve">أ.د/ سامى محمد أحمد </w:t>
            </w:r>
            <w:proofErr w:type="spellStart"/>
            <w:r w:rsidRPr="00491EF4">
              <w:rPr>
                <w:rFonts w:ascii="Simplified Arabic" w:hAnsi="Simplified Arabic"/>
                <w:b/>
                <w:bCs/>
                <w:color w:val="000000" w:themeColor="text1"/>
                <w:sz w:val="32"/>
                <w:szCs w:val="32"/>
                <w:rtl/>
                <w:lang w:bidi="ar-EG"/>
              </w:rPr>
              <w:t>غنيمى</w:t>
            </w:r>
            <w:proofErr w:type="spellEnd"/>
          </w:p>
        </w:tc>
        <w:tc>
          <w:tcPr>
            <w:tcW w:w="2835" w:type="dxa"/>
          </w:tcPr>
          <w:p w14:paraId="509E6EE6" w14:textId="021B75EB" w:rsidR="00EA1E60" w:rsidRPr="00491EF4" w:rsidRDefault="00EA1E60" w:rsidP="00C24E42">
            <w:pPr>
              <w:jc w:val="center"/>
              <w:rPr>
                <w:rFonts w:ascii="Simplified Arabic" w:hAnsi="Simplified Arabic"/>
                <w:b/>
                <w:bCs/>
                <w:color w:val="000000" w:themeColor="text1"/>
                <w:sz w:val="32"/>
                <w:szCs w:val="32"/>
                <w:rtl/>
              </w:rPr>
            </w:pPr>
            <w:r w:rsidRPr="00491EF4">
              <w:rPr>
                <w:rFonts w:ascii="Simplified Arabic" w:hAnsi="Simplified Arabic"/>
                <w:b/>
                <w:bCs/>
                <w:color w:val="000000" w:themeColor="text1"/>
                <w:sz w:val="32"/>
                <w:szCs w:val="32"/>
                <w:rtl/>
                <w:lang w:bidi="ar-EG"/>
              </w:rPr>
              <w:t>د/ صبره أحمد عبد العال</w:t>
            </w:r>
          </w:p>
        </w:tc>
        <w:tc>
          <w:tcPr>
            <w:tcW w:w="2836" w:type="dxa"/>
          </w:tcPr>
          <w:p w14:paraId="69114AD7" w14:textId="7D526AE9" w:rsidR="00EA1E60" w:rsidRPr="00491EF4" w:rsidRDefault="00D23682" w:rsidP="00C24E42">
            <w:pPr>
              <w:jc w:val="center"/>
              <w:rPr>
                <w:rFonts w:ascii="Simplified Arabic" w:hAnsi="Simplified Arabic"/>
                <w:b/>
                <w:bCs/>
                <w:color w:val="000000" w:themeColor="text1"/>
                <w:sz w:val="30"/>
                <w:szCs w:val="30"/>
                <w:rtl/>
              </w:rPr>
            </w:pPr>
            <w:r w:rsidRPr="00491EF4">
              <w:rPr>
                <w:rFonts w:ascii="Simplified Arabic" w:hAnsi="Simplified Arabic"/>
                <w:b/>
                <w:bCs/>
                <w:color w:val="000000" w:themeColor="text1"/>
                <w:sz w:val="30"/>
                <w:szCs w:val="30"/>
                <w:rtl/>
                <w:lang w:bidi="ar-EG"/>
              </w:rPr>
              <w:t>ناهد رزق الله عزيز داود</w:t>
            </w:r>
          </w:p>
        </w:tc>
      </w:tr>
      <w:tr w:rsidR="00D23682" w14:paraId="3BF903A7" w14:textId="77777777" w:rsidTr="00491EF4">
        <w:trPr>
          <w:jc w:val="center"/>
        </w:trPr>
        <w:tc>
          <w:tcPr>
            <w:tcW w:w="3367" w:type="dxa"/>
          </w:tcPr>
          <w:p w14:paraId="7ABCD434" w14:textId="3E2CA18C" w:rsidR="00D23682" w:rsidRPr="00491EF4" w:rsidRDefault="00D23682" w:rsidP="00C24E42">
            <w:pPr>
              <w:jc w:val="center"/>
              <w:rPr>
                <w:rFonts w:ascii="Simplified Arabic" w:hAnsi="Simplified Arabic"/>
                <w:b/>
                <w:bCs/>
                <w:color w:val="000000" w:themeColor="text1"/>
                <w:sz w:val="24"/>
                <w:szCs w:val="24"/>
                <w:rtl/>
                <w:lang w:bidi="ar-EG"/>
              </w:rPr>
            </w:pPr>
            <w:r w:rsidRPr="00491EF4">
              <w:rPr>
                <w:rFonts w:ascii="Simplified Arabic" w:hAnsi="Simplified Arabic"/>
                <w:b/>
                <w:bCs/>
                <w:color w:val="000000" w:themeColor="text1"/>
                <w:sz w:val="24"/>
                <w:szCs w:val="24"/>
                <w:rtl/>
                <w:lang w:bidi="ar-EG"/>
              </w:rPr>
              <w:t>أستاذ المحاسبة المالية</w:t>
            </w:r>
          </w:p>
          <w:p w14:paraId="161A9802" w14:textId="73F665D5" w:rsidR="00D23682" w:rsidRPr="00491EF4" w:rsidRDefault="00D23682" w:rsidP="00C24E42">
            <w:pPr>
              <w:jc w:val="center"/>
              <w:rPr>
                <w:rFonts w:ascii="Simplified Arabic" w:hAnsi="Simplified Arabic"/>
                <w:b/>
                <w:bCs/>
                <w:color w:val="000000" w:themeColor="text1"/>
                <w:sz w:val="24"/>
                <w:szCs w:val="24"/>
                <w:rtl/>
                <w:lang w:bidi="ar-EG"/>
              </w:rPr>
            </w:pPr>
            <w:r w:rsidRPr="00491EF4">
              <w:rPr>
                <w:rFonts w:ascii="Simplified Arabic" w:hAnsi="Simplified Arabic"/>
                <w:b/>
                <w:bCs/>
                <w:color w:val="000000" w:themeColor="text1"/>
                <w:sz w:val="24"/>
                <w:szCs w:val="24"/>
                <w:rtl/>
                <w:lang w:bidi="ar-EG"/>
              </w:rPr>
              <w:t>وعميد كلية التجارة – جامعة بنها</w:t>
            </w:r>
          </w:p>
        </w:tc>
        <w:tc>
          <w:tcPr>
            <w:tcW w:w="2835" w:type="dxa"/>
          </w:tcPr>
          <w:p w14:paraId="5ECA1FF7" w14:textId="513E5572" w:rsidR="00D23682" w:rsidRPr="00491EF4" w:rsidRDefault="00D23682" w:rsidP="00C24E42">
            <w:pPr>
              <w:jc w:val="center"/>
              <w:rPr>
                <w:rFonts w:ascii="Simplified Arabic" w:hAnsi="Simplified Arabic"/>
                <w:b/>
                <w:bCs/>
                <w:color w:val="000000" w:themeColor="text1"/>
                <w:sz w:val="24"/>
                <w:szCs w:val="24"/>
                <w:rtl/>
                <w:lang w:bidi="ar-EG"/>
              </w:rPr>
            </w:pPr>
            <w:r w:rsidRPr="00491EF4">
              <w:rPr>
                <w:rFonts w:ascii="Simplified Arabic" w:hAnsi="Simplified Arabic"/>
                <w:b/>
                <w:bCs/>
                <w:color w:val="000000" w:themeColor="text1"/>
                <w:sz w:val="24"/>
                <w:szCs w:val="24"/>
                <w:rtl/>
                <w:lang w:bidi="ar-EG"/>
              </w:rPr>
              <w:t>مدرس المحاسبة</w:t>
            </w:r>
          </w:p>
          <w:p w14:paraId="15465248" w14:textId="09120A44" w:rsidR="00D23682" w:rsidRPr="00491EF4" w:rsidRDefault="00D23682" w:rsidP="00C24E42">
            <w:pPr>
              <w:jc w:val="center"/>
              <w:rPr>
                <w:rFonts w:ascii="Simplified Arabic" w:hAnsi="Simplified Arabic"/>
                <w:b/>
                <w:bCs/>
                <w:color w:val="000000" w:themeColor="text1"/>
                <w:sz w:val="24"/>
                <w:szCs w:val="24"/>
                <w:rtl/>
                <w:lang w:bidi="ar-EG"/>
              </w:rPr>
            </w:pPr>
            <w:r w:rsidRPr="00491EF4">
              <w:rPr>
                <w:rFonts w:ascii="Simplified Arabic" w:hAnsi="Simplified Arabic"/>
                <w:b/>
                <w:bCs/>
                <w:color w:val="000000" w:themeColor="text1"/>
                <w:sz w:val="24"/>
                <w:szCs w:val="24"/>
                <w:rtl/>
                <w:lang w:bidi="ar-EG"/>
              </w:rPr>
              <w:t>كلية التجارة – جامعة بنها</w:t>
            </w:r>
          </w:p>
        </w:tc>
        <w:tc>
          <w:tcPr>
            <w:tcW w:w="2836" w:type="dxa"/>
          </w:tcPr>
          <w:p w14:paraId="45CF478F" w14:textId="18F305A7" w:rsidR="00D23682" w:rsidRPr="00491EF4" w:rsidRDefault="00D23682" w:rsidP="00C24E42">
            <w:pPr>
              <w:jc w:val="center"/>
              <w:rPr>
                <w:rFonts w:ascii="Simplified Arabic" w:hAnsi="Simplified Arabic"/>
                <w:b/>
                <w:bCs/>
                <w:color w:val="000000" w:themeColor="text1"/>
                <w:sz w:val="24"/>
                <w:szCs w:val="24"/>
                <w:rtl/>
                <w:lang w:bidi="ar-EG"/>
              </w:rPr>
            </w:pPr>
            <w:r w:rsidRPr="00491EF4">
              <w:rPr>
                <w:rFonts w:ascii="Simplified Arabic" w:hAnsi="Simplified Arabic"/>
                <w:b/>
                <w:bCs/>
                <w:color w:val="000000" w:themeColor="text1"/>
                <w:sz w:val="24"/>
                <w:szCs w:val="24"/>
                <w:rtl/>
                <w:lang w:bidi="ar-EG"/>
              </w:rPr>
              <w:t>معيدة بقسم المحاسبة والمراجعة</w:t>
            </w:r>
          </w:p>
        </w:tc>
      </w:tr>
    </w:tbl>
    <w:p w14:paraId="7016396C" w14:textId="77777777" w:rsidR="00CD569F" w:rsidRPr="009C4D0A" w:rsidRDefault="00CD569F" w:rsidP="00C24E42">
      <w:pPr>
        <w:jc w:val="center"/>
        <w:rPr>
          <w:rFonts w:ascii="Simplified Arabic" w:hAnsi="Simplified Arabic"/>
          <w:b/>
          <w:bCs/>
          <w:color w:val="000000" w:themeColor="text1"/>
          <w:rtl/>
        </w:rPr>
      </w:pPr>
    </w:p>
    <w:p w14:paraId="1FA5CE43" w14:textId="77777777" w:rsidR="00CD569F" w:rsidRPr="009C4D0A" w:rsidRDefault="00CD569F" w:rsidP="00C24E42">
      <w:pPr>
        <w:jc w:val="center"/>
        <w:rPr>
          <w:rFonts w:ascii="Simplified Arabic" w:hAnsi="Simplified Arabic"/>
          <w:b/>
          <w:bCs/>
          <w:color w:val="000000" w:themeColor="text1"/>
          <w:rtl/>
        </w:rPr>
      </w:pPr>
    </w:p>
    <w:p w14:paraId="204E9002" w14:textId="629318FC" w:rsidR="00CE22A9" w:rsidRPr="00467F4C" w:rsidRDefault="00CE22A9" w:rsidP="00C24E42">
      <w:pPr>
        <w:jc w:val="center"/>
        <w:rPr>
          <w:b/>
          <w:bCs/>
          <w:color w:val="000000" w:themeColor="text1"/>
          <w:sz w:val="36"/>
          <w:szCs w:val="36"/>
          <w:rtl/>
          <w:lang w:bidi="ar-EG"/>
        </w:rPr>
      </w:pPr>
      <w:r w:rsidRPr="00467F4C">
        <w:rPr>
          <w:rFonts w:hint="cs"/>
          <w:b/>
          <w:bCs/>
          <w:color w:val="000000" w:themeColor="text1"/>
          <w:sz w:val="36"/>
          <w:szCs w:val="36"/>
          <w:rtl/>
          <w:lang w:bidi="ar-EG"/>
        </w:rPr>
        <w:lastRenderedPageBreak/>
        <w:t>أ</w:t>
      </w:r>
      <w:r w:rsidRPr="00467F4C">
        <w:rPr>
          <w:b/>
          <w:bCs/>
          <w:color w:val="000000" w:themeColor="text1"/>
          <w:sz w:val="36"/>
          <w:szCs w:val="36"/>
          <w:rtl/>
          <w:lang w:bidi="ar-EG"/>
        </w:rPr>
        <w:t>ثر الإفصاح المحاسب</w:t>
      </w:r>
      <w:r w:rsidRPr="00467F4C">
        <w:rPr>
          <w:rFonts w:hint="cs"/>
          <w:b/>
          <w:bCs/>
          <w:color w:val="000000" w:themeColor="text1"/>
          <w:sz w:val="36"/>
          <w:szCs w:val="36"/>
          <w:rtl/>
          <w:lang w:bidi="ar-EG"/>
        </w:rPr>
        <w:t>ي</w:t>
      </w:r>
      <w:r w:rsidRPr="00467F4C">
        <w:rPr>
          <w:b/>
          <w:bCs/>
          <w:color w:val="000000" w:themeColor="text1"/>
          <w:sz w:val="36"/>
          <w:szCs w:val="36"/>
          <w:rtl/>
          <w:lang w:bidi="ar-EG"/>
        </w:rPr>
        <w:t xml:space="preserve"> لبنود الدخل الشامل على </w:t>
      </w:r>
      <w:proofErr w:type="spellStart"/>
      <w:r w:rsidRPr="00467F4C">
        <w:rPr>
          <w:rFonts w:hint="cs"/>
          <w:b/>
          <w:bCs/>
          <w:color w:val="000000" w:themeColor="text1"/>
          <w:sz w:val="36"/>
          <w:szCs w:val="36"/>
          <w:rtl/>
          <w:lang w:bidi="ar-EG"/>
        </w:rPr>
        <w:t>إ</w:t>
      </w:r>
      <w:r w:rsidRPr="00467F4C">
        <w:rPr>
          <w:b/>
          <w:bCs/>
          <w:color w:val="000000" w:themeColor="text1"/>
          <w:sz w:val="36"/>
          <w:szCs w:val="36"/>
          <w:rtl/>
          <w:lang w:bidi="ar-EG"/>
        </w:rPr>
        <w:t>تجاهات</w:t>
      </w:r>
      <w:proofErr w:type="spellEnd"/>
      <w:r w:rsidRPr="00467F4C">
        <w:rPr>
          <w:b/>
          <w:bCs/>
          <w:color w:val="000000" w:themeColor="text1"/>
          <w:sz w:val="36"/>
          <w:szCs w:val="36"/>
          <w:rtl/>
          <w:lang w:bidi="ar-EG"/>
        </w:rPr>
        <w:t xml:space="preserve"> </w:t>
      </w:r>
      <w:r w:rsidRPr="00467F4C">
        <w:rPr>
          <w:rFonts w:hint="cs"/>
          <w:b/>
          <w:bCs/>
          <w:color w:val="000000" w:themeColor="text1"/>
          <w:sz w:val="36"/>
          <w:szCs w:val="36"/>
          <w:rtl/>
          <w:lang w:bidi="ar-EG"/>
        </w:rPr>
        <w:t>أ</w:t>
      </w:r>
      <w:r w:rsidRPr="00467F4C">
        <w:rPr>
          <w:b/>
          <w:bCs/>
          <w:color w:val="000000" w:themeColor="text1"/>
          <w:sz w:val="36"/>
          <w:szCs w:val="36"/>
          <w:rtl/>
          <w:lang w:bidi="ar-EG"/>
        </w:rPr>
        <w:t>سعار ال</w:t>
      </w:r>
      <w:r w:rsidRPr="00467F4C">
        <w:rPr>
          <w:rFonts w:hint="cs"/>
          <w:b/>
          <w:bCs/>
          <w:color w:val="000000" w:themeColor="text1"/>
          <w:sz w:val="36"/>
          <w:szCs w:val="36"/>
          <w:rtl/>
          <w:lang w:bidi="ar-EG"/>
        </w:rPr>
        <w:t>أ</w:t>
      </w:r>
      <w:r w:rsidRPr="00467F4C">
        <w:rPr>
          <w:b/>
          <w:bCs/>
          <w:color w:val="000000" w:themeColor="text1"/>
          <w:sz w:val="36"/>
          <w:szCs w:val="36"/>
          <w:rtl/>
          <w:lang w:bidi="ar-EG"/>
        </w:rPr>
        <w:t>سهم</w:t>
      </w:r>
    </w:p>
    <w:p w14:paraId="00F75D78" w14:textId="2EE2E8E1" w:rsidR="00CE22A9" w:rsidRPr="00467F4C" w:rsidRDefault="00CE22A9" w:rsidP="00C24E42">
      <w:pPr>
        <w:jc w:val="center"/>
        <w:rPr>
          <w:b/>
          <w:bCs/>
          <w:color w:val="000000" w:themeColor="text1"/>
          <w:sz w:val="36"/>
          <w:szCs w:val="36"/>
          <w:rtl/>
          <w:lang w:bidi="ar-EG"/>
        </w:rPr>
      </w:pPr>
      <w:r w:rsidRPr="00467F4C">
        <w:rPr>
          <w:rFonts w:hint="cs"/>
          <w:b/>
          <w:bCs/>
          <w:color w:val="000000" w:themeColor="text1"/>
          <w:sz w:val="36"/>
          <w:szCs w:val="36"/>
          <w:rtl/>
          <w:lang w:bidi="ar-EG"/>
        </w:rPr>
        <w:t>- دراسة اختبارية -</w:t>
      </w:r>
    </w:p>
    <w:tbl>
      <w:tblPr>
        <w:tblStyle w:val="TableGrid"/>
        <w:bidiVisual/>
        <w:tblW w:w="91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gridCol w:w="2835"/>
        <w:gridCol w:w="2977"/>
      </w:tblGrid>
      <w:tr w:rsidR="001715FE" w:rsidRPr="00A437D8" w14:paraId="17368F83" w14:textId="77777777" w:rsidTr="00491EF4">
        <w:trPr>
          <w:jc w:val="center"/>
        </w:trPr>
        <w:tc>
          <w:tcPr>
            <w:tcW w:w="3367" w:type="dxa"/>
          </w:tcPr>
          <w:p w14:paraId="5566C584" w14:textId="77777777" w:rsidR="001715FE" w:rsidRPr="00491EF4" w:rsidRDefault="001715FE" w:rsidP="00C24E42">
            <w:pPr>
              <w:jc w:val="center"/>
              <w:rPr>
                <w:rFonts w:ascii="Simplified Arabic" w:hAnsi="Simplified Arabic"/>
                <w:b/>
                <w:bCs/>
                <w:color w:val="000000" w:themeColor="text1"/>
                <w:sz w:val="32"/>
                <w:szCs w:val="32"/>
                <w:rtl/>
              </w:rPr>
            </w:pPr>
            <w:r w:rsidRPr="00491EF4">
              <w:rPr>
                <w:rFonts w:ascii="Simplified Arabic" w:hAnsi="Simplified Arabic"/>
                <w:b/>
                <w:bCs/>
                <w:color w:val="000000" w:themeColor="text1"/>
                <w:sz w:val="32"/>
                <w:szCs w:val="32"/>
                <w:rtl/>
                <w:lang w:bidi="ar-EG"/>
              </w:rPr>
              <w:t xml:space="preserve">أ.د/ سامى محمد أحمد </w:t>
            </w:r>
            <w:proofErr w:type="spellStart"/>
            <w:r w:rsidRPr="00491EF4">
              <w:rPr>
                <w:rFonts w:ascii="Simplified Arabic" w:hAnsi="Simplified Arabic"/>
                <w:b/>
                <w:bCs/>
                <w:color w:val="000000" w:themeColor="text1"/>
                <w:sz w:val="32"/>
                <w:szCs w:val="32"/>
                <w:rtl/>
                <w:lang w:bidi="ar-EG"/>
              </w:rPr>
              <w:t>غنيمى</w:t>
            </w:r>
            <w:proofErr w:type="spellEnd"/>
          </w:p>
        </w:tc>
        <w:tc>
          <w:tcPr>
            <w:tcW w:w="2835" w:type="dxa"/>
          </w:tcPr>
          <w:p w14:paraId="62B44B4B" w14:textId="77777777" w:rsidR="001715FE" w:rsidRPr="00491EF4" w:rsidRDefault="001715FE" w:rsidP="00C24E42">
            <w:pPr>
              <w:jc w:val="center"/>
              <w:rPr>
                <w:rFonts w:ascii="Simplified Arabic" w:hAnsi="Simplified Arabic"/>
                <w:b/>
                <w:bCs/>
                <w:color w:val="000000" w:themeColor="text1"/>
                <w:sz w:val="32"/>
                <w:szCs w:val="32"/>
                <w:rtl/>
              </w:rPr>
            </w:pPr>
            <w:r w:rsidRPr="00491EF4">
              <w:rPr>
                <w:rFonts w:ascii="Simplified Arabic" w:hAnsi="Simplified Arabic"/>
                <w:b/>
                <w:bCs/>
                <w:color w:val="000000" w:themeColor="text1"/>
                <w:sz w:val="32"/>
                <w:szCs w:val="32"/>
                <w:rtl/>
                <w:lang w:bidi="ar-EG"/>
              </w:rPr>
              <w:t>د/ صبره أحمد عبد العال</w:t>
            </w:r>
          </w:p>
        </w:tc>
        <w:tc>
          <w:tcPr>
            <w:tcW w:w="2977" w:type="dxa"/>
          </w:tcPr>
          <w:p w14:paraId="39B95D21" w14:textId="77777777" w:rsidR="001715FE" w:rsidRPr="00491EF4" w:rsidRDefault="001715FE" w:rsidP="00C24E42">
            <w:pPr>
              <w:jc w:val="center"/>
              <w:rPr>
                <w:rFonts w:ascii="Simplified Arabic" w:hAnsi="Simplified Arabic"/>
                <w:b/>
                <w:bCs/>
                <w:color w:val="000000" w:themeColor="text1"/>
                <w:sz w:val="30"/>
                <w:szCs w:val="30"/>
                <w:rtl/>
              </w:rPr>
            </w:pPr>
            <w:r w:rsidRPr="00491EF4">
              <w:rPr>
                <w:rFonts w:ascii="Simplified Arabic" w:hAnsi="Simplified Arabic"/>
                <w:b/>
                <w:bCs/>
                <w:color w:val="000000" w:themeColor="text1"/>
                <w:sz w:val="30"/>
                <w:szCs w:val="30"/>
                <w:rtl/>
                <w:lang w:bidi="ar-EG"/>
              </w:rPr>
              <w:t>ناهد رزق الله عزيز داود</w:t>
            </w:r>
          </w:p>
        </w:tc>
      </w:tr>
      <w:tr w:rsidR="001715FE" w:rsidRPr="009C4D0A" w14:paraId="56BCEFDF" w14:textId="77777777" w:rsidTr="00491EF4">
        <w:trPr>
          <w:jc w:val="center"/>
        </w:trPr>
        <w:tc>
          <w:tcPr>
            <w:tcW w:w="3367" w:type="dxa"/>
          </w:tcPr>
          <w:p w14:paraId="232C43DF" w14:textId="77777777" w:rsidR="001715FE" w:rsidRPr="00491EF4" w:rsidRDefault="001715FE" w:rsidP="00C24E42">
            <w:pPr>
              <w:jc w:val="center"/>
              <w:rPr>
                <w:rFonts w:ascii="Simplified Arabic" w:hAnsi="Simplified Arabic"/>
                <w:b/>
                <w:bCs/>
                <w:color w:val="000000" w:themeColor="text1"/>
                <w:sz w:val="24"/>
                <w:szCs w:val="24"/>
                <w:rtl/>
                <w:lang w:bidi="ar-EG"/>
              </w:rPr>
            </w:pPr>
            <w:r w:rsidRPr="00491EF4">
              <w:rPr>
                <w:rFonts w:ascii="Simplified Arabic" w:hAnsi="Simplified Arabic"/>
                <w:b/>
                <w:bCs/>
                <w:color w:val="000000" w:themeColor="text1"/>
                <w:sz w:val="24"/>
                <w:szCs w:val="24"/>
                <w:rtl/>
                <w:lang w:bidi="ar-EG"/>
              </w:rPr>
              <w:t>أستاذ المحاسبة المالية</w:t>
            </w:r>
          </w:p>
          <w:p w14:paraId="74348D16" w14:textId="77777777" w:rsidR="001715FE" w:rsidRPr="00491EF4" w:rsidRDefault="001715FE" w:rsidP="00C24E42">
            <w:pPr>
              <w:jc w:val="center"/>
              <w:rPr>
                <w:rFonts w:ascii="Simplified Arabic" w:hAnsi="Simplified Arabic"/>
                <w:b/>
                <w:bCs/>
                <w:color w:val="000000" w:themeColor="text1"/>
                <w:sz w:val="24"/>
                <w:szCs w:val="24"/>
                <w:rtl/>
                <w:lang w:bidi="ar-EG"/>
              </w:rPr>
            </w:pPr>
            <w:r w:rsidRPr="00491EF4">
              <w:rPr>
                <w:rFonts w:ascii="Simplified Arabic" w:hAnsi="Simplified Arabic"/>
                <w:b/>
                <w:bCs/>
                <w:color w:val="000000" w:themeColor="text1"/>
                <w:sz w:val="24"/>
                <w:szCs w:val="24"/>
                <w:rtl/>
                <w:lang w:bidi="ar-EG"/>
              </w:rPr>
              <w:t>وعميد كلية التجارة – جامعة بنها</w:t>
            </w:r>
          </w:p>
        </w:tc>
        <w:tc>
          <w:tcPr>
            <w:tcW w:w="2835" w:type="dxa"/>
          </w:tcPr>
          <w:p w14:paraId="1F158559" w14:textId="77777777" w:rsidR="001715FE" w:rsidRPr="00491EF4" w:rsidRDefault="001715FE" w:rsidP="00C24E42">
            <w:pPr>
              <w:jc w:val="center"/>
              <w:rPr>
                <w:rFonts w:ascii="Simplified Arabic" w:hAnsi="Simplified Arabic"/>
                <w:b/>
                <w:bCs/>
                <w:color w:val="000000" w:themeColor="text1"/>
                <w:sz w:val="24"/>
                <w:szCs w:val="24"/>
                <w:rtl/>
                <w:lang w:bidi="ar-EG"/>
              </w:rPr>
            </w:pPr>
            <w:r w:rsidRPr="00491EF4">
              <w:rPr>
                <w:rFonts w:ascii="Simplified Arabic" w:hAnsi="Simplified Arabic"/>
                <w:b/>
                <w:bCs/>
                <w:color w:val="000000" w:themeColor="text1"/>
                <w:sz w:val="24"/>
                <w:szCs w:val="24"/>
                <w:rtl/>
                <w:lang w:bidi="ar-EG"/>
              </w:rPr>
              <w:t>مدرس المحاسبة</w:t>
            </w:r>
          </w:p>
          <w:p w14:paraId="17A960A8" w14:textId="77777777" w:rsidR="001715FE" w:rsidRPr="00491EF4" w:rsidRDefault="001715FE" w:rsidP="00C24E42">
            <w:pPr>
              <w:jc w:val="center"/>
              <w:rPr>
                <w:rFonts w:ascii="Simplified Arabic" w:hAnsi="Simplified Arabic"/>
                <w:b/>
                <w:bCs/>
                <w:color w:val="000000" w:themeColor="text1"/>
                <w:sz w:val="24"/>
                <w:szCs w:val="24"/>
                <w:rtl/>
                <w:lang w:bidi="ar-EG"/>
              </w:rPr>
            </w:pPr>
            <w:r w:rsidRPr="00491EF4">
              <w:rPr>
                <w:rFonts w:ascii="Simplified Arabic" w:hAnsi="Simplified Arabic"/>
                <w:b/>
                <w:bCs/>
                <w:color w:val="000000" w:themeColor="text1"/>
                <w:sz w:val="24"/>
                <w:szCs w:val="24"/>
                <w:rtl/>
                <w:lang w:bidi="ar-EG"/>
              </w:rPr>
              <w:t>كلية التجارة – جامعة بنها</w:t>
            </w:r>
          </w:p>
        </w:tc>
        <w:tc>
          <w:tcPr>
            <w:tcW w:w="2977" w:type="dxa"/>
          </w:tcPr>
          <w:p w14:paraId="57EDBEC8" w14:textId="77777777" w:rsidR="001715FE" w:rsidRPr="00491EF4" w:rsidRDefault="001715FE" w:rsidP="00C24E42">
            <w:pPr>
              <w:jc w:val="center"/>
              <w:rPr>
                <w:rFonts w:ascii="Simplified Arabic" w:hAnsi="Simplified Arabic"/>
                <w:b/>
                <w:bCs/>
                <w:color w:val="000000" w:themeColor="text1"/>
                <w:sz w:val="36"/>
                <w:szCs w:val="36"/>
                <w:rtl/>
                <w:lang w:bidi="ar-EG"/>
              </w:rPr>
            </w:pPr>
            <w:r w:rsidRPr="00491EF4">
              <w:rPr>
                <w:rFonts w:ascii="Simplified Arabic" w:hAnsi="Simplified Arabic"/>
                <w:b/>
                <w:bCs/>
                <w:color w:val="000000" w:themeColor="text1"/>
                <w:sz w:val="24"/>
                <w:szCs w:val="24"/>
                <w:rtl/>
                <w:lang w:bidi="ar-EG"/>
              </w:rPr>
              <w:t>معيدة بقسم المحاسبة والمراجعة</w:t>
            </w:r>
          </w:p>
        </w:tc>
      </w:tr>
    </w:tbl>
    <w:p w14:paraId="071B9514" w14:textId="77777777" w:rsidR="00053AF9" w:rsidRPr="009C4D0A" w:rsidRDefault="00053AF9" w:rsidP="00C24E42">
      <w:pPr>
        <w:rPr>
          <w:b/>
          <w:bCs/>
          <w:color w:val="000000" w:themeColor="text1"/>
          <w:sz w:val="32"/>
          <w:szCs w:val="32"/>
          <w:rtl/>
          <w:lang w:bidi="ar-EG"/>
        </w:rPr>
      </w:pPr>
      <w:r w:rsidRPr="009C4D0A">
        <w:rPr>
          <w:rFonts w:hint="cs"/>
          <w:b/>
          <w:bCs/>
          <w:color w:val="000000" w:themeColor="text1"/>
          <w:sz w:val="32"/>
          <w:szCs w:val="32"/>
          <w:rtl/>
          <w:lang w:bidi="ar-EG"/>
        </w:rPr>
        <w:t xml:space="preserve">ملخص البحث: </w:t>
      </w:r>
    </w:p>
    <w:p w14:paraId="4832E413" w14:textId="344E6FB9" w:rsidR="00053AF9" w:rsidRPr="009C4D0A" w:rsidRDefault="005E0967" w:rsidP="00C24E42">
      <w:pPr>
        <w:ind w:firstLine="720"/>
        <w:jc w:val="lowKashida"/>
        <w:rPr>
          <w:color w:val="000000" w:themeColor="text1"/>
          <w:sz w:val="26"/>
          <w:szCs w:val="26"/>
          <w:rtl/>
          <w:lang w:bidi="ar-EG"/>
        </w:rPr>
      </w:pPr>
      <w:r w:rsidRPr="009C4D0A">
        <w:rPr>
          <w:color w:val="000000" w:themeColor="text1"/>
          <w:sz w:val="26"/>
          <w:szCs w:val="26"/>
          <w:lang w:bidi="ar-EG"/>
        </w:rPr>
        <w:t xml:space="preserve"> </w:t>
      </w:r>
      <w:r w:rsidRPr="009C4D0A">
        <w:rPr>
          <w:rFonts w:hint="cs"/>
          <w:color w:val="000000" w:themeColor="text1"/>
          <w:sz w:val="26"/>
          <w:szCs w:val="26"/>
          <w:rtl/>
          <w:lang w:bidi="ar-EG"/>
        </w:rPr>
        <w:t xml:space="preserve">هدف البحث إلى دراسة أثر الإفصاح </w:t>
      </w:r>
      <w:proofErr w:type="spellStart"/>
      <w:r w:rsidRPr="009C4D0A">
        <w:rPr>
          <w:rFonts w:hint="cs"/>
          <w:color w:val="000000" w:themeColor="text1"/>
          <w:sz w:val="26"/>
          <w:szCs w:val="26"/>
          <w:rtl/>
          <w:lang w:bidi="ar-EG"/>
        </w:rPr>
        <w:t>المحاسبى</w:t>
      </w:r>
      <w:proofErr w:type="spellEnd"/>
      <w:r w:rsidRPr="009C4D0A">
        <w:rPr>
          <w:rFonts w:hint="cs"/>
          <w:color w:val="000000" w:themeColor="text1"/>
          <w:sz w:val="26"/>
          <w:szCs w:val="26"/>
          <w:rtl/>
          <w:lang w:bidi="ar-EG"/>
        </w:rPr>
        <w:t xml:space="preserve"> لبنود الدخل الشامل على </w:t>
      </w:r>
      <w:proofErr w:type="spellStart"/>
      <w:r w:rsidRPr="009C4D0A">
        <w:rPr>
          <w:rFonts w:hint="cs"/>
          <w:color w:val="000000" w:themeColor="text1"/>
          <w:sz w:val="26"/>
          <w:szCs w:val="26"/>
          <w:rtl/>
          <w:lang w:bidi="ar-EG"/>
        </w:rPr>
        <w:t>إتجاهات</w:t>
      </w:r>
      <w:proofErr w:type="spellEnd"/>
      <w:r w:rsidRPr="009C4D0A">
        <w:rPr>
          <w:rFonts w:hint="cs"/>
          <w:color w:val="000000" w:themeColor="text1"/>
          <w:sz w:val="26"/>
          <w:szCs w:val="26"/>
          <w:rtl/>
          <w:lang w:bidi="ar-EG"/>
        </w:rPr>
        <w:t xml:space="preserve"> أسعار الأسهم، وفى سبيل ذلك تناولت الباحثة عرض الدراسات السابقة التي تتعلق بالإفصاح </w:t>
      </w:r>
      <w:proofErr w:type="spellStart"/>
      <w:r w:rsidRPr="009C4D0A">
        <w:rPr>
          <w:rFonts w:hint="cs"/>
          <w:color w:val="000000" w:themeColor="text1"/>
          <w:sz w:val="26"/>
          <w:szCs w:val="26"/>
          <w:rtl/>
          <w:lang w:bidi="ar-EG"/>
        </w:rPr>
        <w:t>المحاسبى</w:t>
      </w:r>
      <w:proofErr w:type="spellEnd"/>
      <w:r w:rsidRPr="009C4D0A">
        <w:rPr>
          <w:rFonts w:hint="cs"/>
          <w:color w:val="000000" w:themeColor="text1"/>
          <w:sz w:val="26"/>
          <w:szCs w:val="26"/>
          <w:rtl/>
          <w:lang w:bidi="ar-EG"/>
        </w:rPr>
        <w:t xml:space="preserve"> عن الدخل الشامل وتأثيره على قرارات المستثمرين</w:t>
      </w:r>
      <w:r w:rsidR="00B658E9" w:rsidRPr="009C4D0A">
        <w:rPr>
          <w:rFonts w:hint="cs"/>
          <w:color w:val="000000" w:themeColor="text1"/>
          <w:sz w:val="26"/>
          <w:szCs w:val="26"/>
          <w:rtl/>
          <w:lang w:bidi="ar-EG"/>
        </w:rPr>
        <w:t>،</w:t>
      </w:r>
      <w:r w:rsidR="00053AF9" w:rsidRPr="009C4D0A">
        <w:rPr>
          <w:rFonts w:hint="cs"/>
          <w:color w:val="000000" w:themeColor="text1"/>
          <w:sz w:val="26"/>
          <w:szCs w:val="26"/>
          <w:rtl/>
          <w:lang w:bidi="ar-EG"/>
        </w:rPr>
        <w:t xml:space="preserve"> ثم</w:t>
      </w:r>
      <w:r w:rsidRPr="009C4D0A">
        <w:rPr>
          <w:rFonts w:hint="cs"/>
          <w:color w:val="000000" w:themeColor="text1"/>
          <w:sz w:val="26"/>
          <w:szCs w:val="26"/>
          <w:rtl/>
          <w:lang w:bidi="ar-EG"/>
        </w:rPr>
        <w:t xml:space="preserve"> تم</w:t>
      </w:r>
      <w:r w:rsidR="00053AF9" w:rsidRPr="009C4D0A">
        <w:rPr>
          <w:rFonts w:hint="cs"/>
          <w:color w:val="000000" w:themeColor="text1"/>
          <w:sz w:val="26"/>
          <w:szCs w:val="26"/>
          <w:rtl/>
          <w:lang w:bidi="ar-EG"/>
        </w:rPr>
        <w:t xml:space="preserve"> اشتقاق الفروض </w:t>
      </w:r>
      <w:proofErr w:type="spellStart"/>
      <w:r w:rsidR="00053AF9" w:rsidRPr="009C4D0A">
        <w:rPr>
          <w:rFonts w:hint="cs"/>
          <w:color w:val="000000" w:themeColor="text1"/>
          <w:sz w:val="26"/>
          <w:szCs w:val="26"/>
          <w:rtl/>
          <w:lang w:bidi="ar-EG"/>
        </w:rPr>
        <w:t>التى</w:t>
      </w:r>
      <w:proofErr w:type="spellEnd"/>
      <w:r w:rsidR="00053AF9" w:rsidRPr="009C4D0A">
        <w:rPr>
          <w:rFonts w:hint="cs"/>
          <w:color w:val="000000" w:themeColor="text1"/>
          <w:sz w:val="26"/>
          <w:szCs w:val="26"/>
          <w:rtl/>
          <w:lang w:bidi="ar-EG"/>
        </w:rPr>
        <w:t xml:space="preserve"> يقوم عليها البحث. </w:t>
      </w:r>
    </w:p>
    <w:p w14:paraId="63649580" w14:textId="1751809F" w:rsidR="00053AF9" w:rsidRPr="009C4D0A" w:rsidRDefault="00053AF9" w:rsidP="00C24E42">
      <w:pPr>
        <w:ind w:firstLine="720"/>
        <w:jc w:val="lowKashida"/>
        <w:rPr>
          <w:color w:val="000000" w:themeColor="text1"/>
          <w:sz w:val="26"/>
          <w:szCs w:val="26"/>
          <w:rtl/>
          <w:lang w:bidi="ar-EG"/>
        </w:rPr>
      </w:pPr>
      <w:r w:rsidRPr="009C4D0A">
        <w:rPr>
          <w:rFonts w:hint="cs"/>
          <w:color w:val="000000" w:themeColor="text1"/>
          <w:sz w:val="26"/>
          <w:szCs w:val="26"/>
          <w:rtl/>
          <w:lang w:bidi="ar-EG"/>
        </w:rPr>
        <w:t xml:space="preserve">كما تم </w:t>
      </w:r>
      <w:proofErr w:type="spellStart"/>
      <w:r w:rsidRPr="009C4D0A">
        <w:rPr>
          <w:rFonts w:hint="cs"/>
          <w:color w:val="000000" w:themeColor="text1"/>
          <w:sz w:val="26"/>
          <w:szCs w:val="26"/>
          <w:rtl/>
          <w:lang w:bidi="ar-EG"/>
        </w:rPr>
        <w:t>إستخدام</w:t>
      </w:r>
      <w:proofErr w:type="spellEnd"/>
      <w:r w:rsidRPr="009C4D0A">
        <w:rPr>
          <w:rFonts w:hint="cs"/>
          <w:color w:val="000000" w:themeColor="text1"/>
          <w:sz w:val="26"/>
          <w:szCs w:val="26"/>
          <w:rtl/>
          <w:lang w:bidi="ar-EG"/>
        </w:rPr>
        <w:t xml:space="preserve"> البرنامج </w:t>
      </w:r>
      <w:proofErr w:type="spellStart"/>
      <w:r w:rsidRPr="009C4D0A">
        <w:rPr>
          <w:rFonts w:hint="cs"/>
          <w:color w:val="000000" w:themeColor="text1"/>
          <w:sz w:val="26"/>
          <w:szCs w:val="26"/>
          <w:rtl/>
          <w:lang w:bidi="ar-EG"/>
        </w:rPr>
        <w:t>الإحصائى</w:t>
      </w:r>
      <w:proofErr w:type="spellEnd"/>
      <w:r w:rsidRPr="009C4D0A">
        <w:rPr>
          <w:rFonts w:hint="cs"/>
          <w:color w:val="000000" w:themeColor="text1"/>
          <w:sz w:val="26"/>
          <w:szCs w:val="26"/>
          <w:rtl/>
          <w:lang w:bidi="ar-EG"/>
        </w:rPr>
        <w:t xml:space="preserve"> </w:t>
      </w:r>
      <w:r w:rsidR="00C85ED3" w:rsidRPr="009C4D0A">
        <w:rPr>
          <w:color w:val="000000" w:themeColor="text1"/>
          <w:sz w:val="26"/>
          <w:szCs w:val="26"/>
          <w:lang w:bidi="ar-EG"/>
        </w:rPr>
        <w:t>SPSS</w:t>
      </w:r>
      <w:r w:rsidRPr="009C4D0A">
        <w:rPr>
          <w:rFonts w:hint="cs"/>
          <w:color w:val="000000" w:themeColor="text1"/>
          <w:sz w:val="26"/>
          <w:szCs w:val="26"/>
          <w:rtl/>
          <w:lang w:bidi="ar-EG"/>
        </w:rPr>
        <w:t xml:space="preserve"> لإدخال البيانات الأولية </w:t>
      </w:r>
      <w:proofErr w:type="spellStart"/>
      <w:r w:rsidRPr="009C4D0A">
        <w:rPr>
          <w:rFonts w:hint="cs"/>
          <w:color w:val="000000" w:themeColor="text1"/>
          <w:sz w:val="26"/>
          <w:szCs w:val="26"/>
          <w:rtl/>
          <w:lang w:bidi="ar-EG"/>
        </w:rPr>
        <w:t>التى</w:t>
      </w:r>
      <w:proofErr w:type="spellEnd"/>
      <w:r w:rsidRPr="009C4D0A">
        <w:rPr>
          <w:rFonts w:hint="cs"/>
          <w:color w:val="000000" w:themeColor="text1"/>
          <w:sz w:val="26"/>
          <w:szCs w:val="26"/>
          <w:rtl/>
          <w:lang w:bidi="ar-EG"/>
        </w:rPr>
        <w:t xml:space="preserve"> تم الحصول عليها من قائمة </w:t>
      </w:r>
      <w:proofErr w:type="spellStart"/>
      <w:r w:rsidRPr="009C4D0A">
        <w:rPr>
          <w:rFonts w:hint="cs"/>
          <w:color w:val="000000" w:themeColor="text1"/>
          <w:sz w:val="26"/>
          <w:szCs w:val="26"/>
          <w:rtl/>
          <w:lang w:bidi="ar-EG"/>
        </w:rPr>
        <w:t>الإستقصاء</w:t>
      </w:r>
      <w:proofErr w:type="spellEnd"/>
      <w:r w:rsidRPr="009C4D0A">
        <w:rPr>
          <w:rFonts w:hint="cs"/>
          <w:color w:val="000000" w:themeColor="text1"/>
          <w:sz w:val="26"/>
          <w:szCs w:val="26"/>
          <w:rtl/>
          <w:lang w:bidi="ar-EG"/>
        </w:rPr>
        <w:t xml:space="preserve"> </w:t>
      </w:r>
      <w:proofErr w:type="spellStart"/>
      <w:r w:rsidRPr="009C4D0A">
        <w:rPr>
          <w:rFonts w:hint="cs"/>
          <w:color w:val="000000" w:themeColor="text1"/>
          <w:sz w:val="26"/>
          <w:szCs w:val="26"/>
          <w:rtl/>
          <w:lang w:bidi="ar-EG"/>
        </w:rPr>
        <w:t>التى</w:t>
      </w:r>
      <w:proofErr w:type="spellEnd"/>
      <w:r w:rsidRPr="009C4D0A">
        <w:rPr>
          <w:rFonts w:hint="cs"/>
          <w:color w:val="000000" w:themeColor="text1"/>
          <w:sz w:val="26"/>
          <w:szCs w:val="26"/>
          <w:rtl/>
          <w:lang w:bidi="ar-EG"/>
        </w:rPr>
        <w:t xml:space="preserve"> تم توزيعها على عينة مكونة من (</w:t>
      </w:r>
      <w:r w:rsidR="005E0967" w:rsidRPr="009C4D0A">
        <w:rPr>
          <w:rFonts w:hint="cs"/>
          <w:color w:val="000000" w:themeColor="text1"/>
          <w:sz w:val="26"/>
          <w:szCs w:val="26"/>
          <w:rtl/>
          <w:lang w:bidi="ar-EG"/>
        </w:rPr>
        <w:t>260</w:t>
      </w:r>
      <w:r w:rsidRPr="009C4D0A">
        <w:rPr>
          <w:rFonts w:hint="cs"/>
          <w:color w:val="000000" w:themeColor="text1"/>
          <w:sz w:val="26"/>
          <w:szCs w:val="26"/>
          <w:rtl/>
          <w:lang w:bidi="ar-EG"/>
        </w:rPr>
        <w:t xml:space="preserve">) مفردة من </w:t>
      </w:r>
      <w:proofErr w:type="spellStart"/>
      <w:r w:rsidR="005E0967" w:rsidRPr="009C4D0A">
        <w:rPr>
          <w:rFonts w:hint="cs"/>
          <w:color w:val="000000" w:themeColor="text1"/>
          <w:sz w:val="26"/>
          <w:szCs w:val="26"/>
          <w:rtl/>
          <w:lang w:bidi="ar-EG"/>
        </w:rPr>
        <w:t>مراجعى</w:t>
      </w:r>
      <w:proofErr w:type="spellEnd"/>
      <w:r w:rsidR="005E0967" w:rsidRPr="009C4D0A">
        <w:rPr>
          <w:rFonts w:hint="cs"/>
          <w:color w:val="000000" w:themeColor="text1"/>
          <w:sz w:val="26"/>
          <w:szCs w:val="26"/>
          <w:rtl/>
          <w:lang w:bidi="ar-EG"/>
        </w:rPr>
        <w:t xml:space="preserve"> الحسابات ومعدى </w:t>
      </w:r>
      <w:proofErr w:type="spellStart"/>
      <w:r w:rsidR="005E0967" w:rsidRPr="009C4D0A">
        <w:rPr>
          <w:rFonts w:hint="cs"/>
          <w:color w:val="000000" w:themeColor="text1"/>
          <w:sz w:val="26"/>
          <w:szCs w:val="26"/>
          <w:rtl/>
          <w:lang w:bidi="ar-EG"/>
        </w:rPr>
        <w:t>ومستخدمى</w:t>
      </w:r>
      <w:proofErr w:type="spellEnd"/>
      <w:r w:rsidR="005E0967" w:rsidRPr="009C4D0A">
        <w:rPr>
          <w:rFonts w:hint="cs"/>
          <w:color w:val="000000" w:themeColor="text1"/>
          <w:sz w:val="26"/>
          <w:szCs w:val="26"/>
          <w:rtl/>
          <w:lang w:bidi="ar-EG"/>
        </w:rPr>
        <w:t xml:space="preserve"> القوائم والتقارير المالية وأعضاء هيئة التدريس بأقسام المحاسبة ببعض كليات التجارة بالجامعات المصرية والوسطاء الماليين.</w:t>
      </w:r>
    </w:p>
    <w:p w14:paraId="492BEBC6" w14:textId="5D9224F9" w:rsidR="005E0967" w:rsidRPr="009C4D0A" w:rsidRDefault="005E0967" w:rsidP="00C24E42">
      <w:pPr>
        <w:ind w:firstLine="720"/>
        <w:jc w:val="lowKashida"/>
        <w:rPr>
          <w:color w:val="000000" w:themeColor="text1"/>
          <w:sz w:val="26"/>
          <w:szCs w:val="26"/>
          <w:rtl/>
          <w:lang w:bidi="ar-EG"/>
        </w:rPr>
      </w:pPr>
      <w:r w:rsidRPr="009C4D0A">
        <w:rPr>
          <w:rFonts w:hint="cs"/>
          <w:color w:val="000000" w:themeColor="text1"/>
          <w:sz w:val="26"/>
          <w:szCs w:val="26"/>
          <w:rtl/>
          <w:lang w:bidi="ar-EG"/>
        </w:rPr>
        <w:t xml:space="preserve">وقد أظهرت النتائج وجود علاقة معنوية ذات دلالة إحصائية بين الإفصاح </w:t>
      </w:r>
      <w:proofErr w:type="spellStart"/>
      <w:r w:rsidRPr="009C4D0A">
        <w:rPr>
          <w:rFonts w:hint="cs"/>
          <w:color w:val="000000" w:themeColor="text1"/>
          <w:sz w:val="26"/>
          <w:szCs w:val="26"/>
          <w:rtl/>
          <w:lang w:bidi="ar-EG"/>
        </w:rPr>
        <w:t>المحاسبى</w:t>
      </w:r>
      <w:proofErr w:type="spellEnd"/>
      <w:r w:rsidRPr="009C4D0A">
        <w:rPr>
          <w:rFonts w:hint="cs"/>
          <w:color w:val="000000" w:themeColor="text1"/>
          <w:sz w:val="26"/>
          <w:szCs w:val="26"/>
          <w:rtl/>
          <w:lang w:bidi="ar-EG"/>
        </w:rPr>
        <w:t xml:space="preserve"> عن بنود الدخل الشامل وسلوك أسعار الأسهم ومن ثم التأثير على كفاءة سوق الأوراق المالية المصرية</w:t>
      </w:r>
      <w:r w:rsidR="0009637E" w:rsidRPr="009C4D0A">
        <w:rPr>
          <w:rFonts w:hint="cs"/>
          <w:color w:val="000000" w:themeColor="text1"/>
          <w:sz w:val="26"/>
          <w:szCs w:val="26"/>
          <w:rtl/>
          <w:lang w:bidi="ar-EG"/>
        </w:rPr>
        <w:t xml:space="preserve">، وتتمثل هذه البنود في المكاسب والخسائر غير المحققة الناتجة عن إعادة تقييم الأصول المالية المتاحة للبيع والجزء الفعال من المكاسب والخسائر غير المحققة على أدوات التغطية المستخدمة في تحوط التدفقات النقدية والمكاسب والخسائر غير المحققة الناتجة عن تسويات ترجمة العملات الأجنبية والمكاسب والخسائر </w:t>
      </w:r>
      <w:proofErr w:type="spellStart"/>
      <w:r w:rsidR="0009637E" w:rsidRPr="009C4D0A">
        <w:rPr>
          <w:rFonts w:hint="cs"/>
          <w:color w:val="000000" w:themeColor="text1"/>
          <w:sz w:val="26"/>
          <w:szCs w:val="26"/>
          <w:rtl/>
          <w:lang w:bidi="ar-EG"/>
        </w:rPr>
        <w:t>الإكتوارية</w:t>
      </w:r>
      <w:proofErr w:type="spellEnd"/>
      <w:r w:rsidR="0009637E" w:rsidRPr="009C4D0A">
        <w:rPr>
          <w:rFonts w:hint="cs"/>
          <w:color w:val="000000" w:themeColor="text1"/>
          <w:sz w:val="26"/>
          <w:szCs w:val="26"/>
          <w:rtl/>
          <w:lang w:bidi="ar-EG"/>
        </w:rPr>
        <w:t xml:space="preserve"> غير المحققة على خطط منافع الموظفين والإفصاح </w:t>
      </w:r>
      <w:proofErr w:type="spellStart"/>
      <w:r w:rsidR="0009637E" w:rsidRPr="009C4D0A">
        <w:rPr>
          <w:rFonts w:hint="cs"/>
          <w:color w:val="000000" w:themeColor="text1"/>
          <w:sz w:val="26"/>
          <w:szCs w:val="26"/>
          <w:rtl/>
          <w:lang w:bidi="ar-EG"/>
        </w:rPr>
        <w:t>المحاسبى</w:t>
      </w:r>
      <w:proofErr w:type="spellEnd"/>
      <w:r w:rsidR="0009637E" w:rsidRPr="009C4D0A">
        <w:rPr>
          <w:rFonts w:hint="cs"/>
          <w:color w:val="000000" w:themeColor="text1"/>
          <w:sz w:val="26"/>
          <w:szCs w:val="26"/>
          <w:rtl/>
          <w:lang w:bidi="ar-EG"/>
        </w:rPr>
        <w:t xml:space="preserve"> عن التغيرات في فائض إعادة التقييم للأصول الثابتة والأصول غير الملموسة.</w:t>
      </w:r>
    </w:p>
    <w:p w14:paraId="060757CD" w14:textId="2F5AF043" w:rsidR="00D01925" w:rsidRPr="009C4D0A" w:rsidRDefault="0009637E" w:rsidP="00C24E42">
      <w:pPr>
        <w:ind w:firstLine="720"/>
        <w:jc w:val="lowKashida"/>
        <w:rPr>
          <w:color w:val="000000" w:themeColor="text1"/>
          <w:sz w:val="26"/>
          <w:szCs w:val="26"/>
          <w:rtl/>
          <w:lang w:bidi="ar-EG"/>
        </w:rPr>
      </w:pPr>
      <w:r w:rsidRPr="009C4D0A">
        <w:rPr>
          <w:rFonts w:hint="cs"/>
          <w:color w:val="000000" w:themeColor="text1"/>
          <w:sz w:val="26"/>
          <w:szCs w:val="26"/>
          <w:rtl/>
          <w:lang w:bidi="ar-EG"/>
        </w:rPr>
        <w:t xml:space="preserve"> </w:t>
      </w:r>
      <w:r w:rsidR="00053AF9" w:rsidRPr="009C4D0A">
        <w:rPr>
          <w:rFonts w:hint="cs"/>
          <w:color w:val="000000" w:themeColor="text1"/>
          <w:sz w:val="26"/>
          <w:szCs w:val="26"/>
          <w:rtl/>
          <w:lang w:bidi="ar-EG"/>
        </w:rPr>
        <w:t xml:space="preserve">وقد </w:t>
      </w:r>
      <w:r w:rsidRPr="009C4D0A">
        <w:rPr>
          <w:rFonts w:hint="cs"/>
          <w:color w:val="000000" w:themeColor="text1"/>
          <w:sz w:val="26"/>
          <w:szCs w:val="26"/>
          <w:rtl/>
          <w:lang w:bidi="ar-EG"/>
        </w:rPr>
        <w:t>أوصى</w:t>
      </w:r>
      <w:r w:rsidR="00053AF9" w:rsidRPr="009C4D0A">
        <w:rPr>
          <w:rFonts w:hint="cs"/>
          <w:color w:val="000000" w:themeColor="text1"/>
          <w:sz w:val="26"/>
          <w:szCs w:val="26"/>
          <w:rtl/>
          <w:lang w:bidi="ar-EG"/>
        </w:rPr>
        <w:t xml:space="preserve"> ا</w:t>
      </w:r>
      <w:r w:rsidRPr="009C4D0A">
        <w:rPr>
          <w:rFonts w:hint="cs"/>
          <w:color w:val="000000" w:themeColor="text1"/>
          <w:sz w:val="26"/>
          <w:szCs w:val="26"/>
          <w:rtl/>
          <w:lang w:bidi="ar-EG"/>
        </w:rPr>
        <w:t xml:space="preserve">لبحث </w:t>
      </w:r>
      <w:r w:rsidR="00053AF9" w:rsidRPr="009C4D0A">
        <w:rPr>
          <w:rFonts w:hint="cs"/>
          <w:color w:val="000000" w:themeColor="text1"/>
          <w:sz w:val="26"/>
          <w:szCs w:val="26"/>
          <w:rtl/>
          <w:lang w:bidi="ar-EG"/>
        </w:rPr>
        <w:t xml:space="preserve"> بضرورة </w:t>
      </w:r>
      <w:r w:rsidR="00D01925" w:rsidRPr="009C4D0A">
        <w:rPr>
          <w:rFonts w:hint="cs"/>
          <w:color w:val="000000" w:themeColor="text1"/>
          <w:sz w:val="26"/>
          <w:szCs w:val="26"/>
          <w:rtl/>
          <w:lang w:bidi="ar-EG"/>
        </w:rPr>
        <w:t xml:space="preserve">إلزام منشآت الأعمال المدرجة في سوق الأوراق المالية بالإفصاح عن بنود الدخل الشامل الآخر في قائمة منفصلة عن قائمة الدخل التقليدية لما يساعد في زيادة شفافية القوائم المالية، الأخذ بالدخل الشامل كمقياس للأداء إلى جانب صافى الدخل التقليدي وذلك لأنه يتضمن جميع مصادر تعظيم القيمة، نشر الوعى بأهمية الإفصاح عن بنود الدخل الشامل من خلال عقد دورات تدريبية للمحاسبين والمحللين الماليين وغيرهم من المستخدمين، التوسع في الإفصاح </w:t>
      </w:r>
      <w:proofErr w:type="spellStart"/>
      <w:r w:rsidR="00D01925" w:rsidRPr="009C4D0A">
        <w:rPr>
          <w:rFonts w:hint="cs"/>
          <w:color w:val="000000" w:themeColor="text1"/>
          <w:sz w:val="26"/>
          <w:szCs w:val="26"/>
          <w:rtl/>
          <w:lang w:bidi="ar-EG"/>
        </w:rPr>
        <w:t>المحاسبى</w:t>
      </w:r>
      <w:proofErr w:type="spellEnd"/>
      <w:r w:rsidR="00D01925" w:rsidRPr="009C4D0A">
        <w:rPr>
          <w:rFonts w:hint="cs"/>
          <w:color w:val="000000" w:themeColor="text1"/>
          <w:sz w:val="26"/>
          <w:szCs w:val="26"/>
          <w:rtl/>
          <w:lang w:bidi="ar-EG"/>
        </w:rPr>
        <w:t xml:space="preserve"> لما له من مردود </w:t>
      </w:r>
      <w:proofErr w:type="spellStart"/>
      <w:r w:rsidR="00D01925" w:rsidRPr="009C4D0A">
        <w:rPr>
          <w:rFonts w:hint="cs"/>
          <w:color w:val="000000" w:themeColor="text1"/>
          <w:sz w:val="26"/>
          <w:szCs w:val="26"/>
          <w:rtl/>
          <w:lang w:bidi="ar-EG"/>
        </w:rPr>
        <w:t>إيجابى</w:t>
      </w:r>
      <w:proofErr w:type="spellEnd"/>
      <w:r w:rsidR="00D01925" w:rsidRPr="009C4D0A">
        <w:rPr>
          <w:rFonts w:hint="cs"/>
          <w:color w:val="000000" w:themeColor="text1"/>
          <w:sz w:val="26"/>
          <w:szCs w:val="26"/>
          <w:rtl/>
          <w:lang w:bidi="ar-EG"/>
        </w:rPr>
        <w:t xml:space="preserve"> على أسعار الأسهم في سوق الأوراق المالية. </w:t>
      </w:r>
    </w:p>
    <w:p w14:paraId="50BC0541" w14:textId="0F8FDDD5" w:rsidR="00053AF9" w:rsidRPr="009C4D0A" w:rsidRDefault="00053AF9" w:rsidP="00C85ED3">
      <w:pPr>
        <w:spacing w:before="240"/>
        <w:jc w:val="lowKashida"/>
        <w:rPr>
          <w:color w:val="000000" w:themeColor="text1"/>
          <w:sz w:val="26"/>
          <w:szCs w:val="26"/>
          <w:rtl/>
          <w:lang w:bidi="ar-EG"/>
        </w:rPr>
      </w:pPr>
      <w:r w:rsidRPr="009C4D0A">
        <w:rPr>
          <w:rFonts w:hint="cs"/>
          <w:b/>
          <w:bCs/>
          <w:color w:val="000000" w:themeColor="text1"/>
          <w:sz w:val="26"/>
          <w:szCs w:val="26"/>
          <w:rtl/>
          <w:lang w:bidi="ar-EG"/>
        </w:rPr>
        <w:t>الكلمات المفتاحية</w:t>
      </w:r>
      <w:r w:rsidRPr="009C4D0A">
        <w:rPr>
          <w:rFonts w:hint="cs"/>
          <w:color w:val="000000" w:themeColor="text1"/>
          <w:sz w:val="26"/>
          <w:szCs w:val="26"/>
          <w:rtl/>
          <w:lang w:bidi="ar-EG"/>
        </w:rPr>
        <w:t xml:space="preserve">: </w:t>
      </w:r>
      <w:r w:rsidR="00D01925" w:rsidRPr="009C4D0A">
        <w:rPr>
          <w:rFonts w:hint="cs"/>
          <w:color w:val="000000" w:themeColor="text1"/>
          <w:sz w:val="26"/>
          <w:szCs w:val="26"/>
          <w:rtl/>
          <w:lang w:bidi="ar-EG"/>
        </w:rPr>
        <w:t>بنود الدخل الشامل</w:t>
      </w:r>
      <w:r w:rsidR="00B658E9" w:rsidRPr="009C4D0A">
        <w:rPr>
          <w:rFonts w:hint="cs"/>
          <w:color w:val="000000" w:themeColor="text1"/>
          <w:sz w:val="26"/>
          <w:szCs w:val="26"/>
          <w:rtl/>
          <w:lang w:bidi="ar-EG"/>
        </w:rPr>
        <w:t>،</w:t>
      </w:r>
      <w:r w:rsidRPr="009C4D0A">
        <w:rPr>
          <w:rFonts w:hint="cs"/>
          <w:color w:val="000000" w:themeColor="text1"/>
          <w:sz w:val="26"/>
          <w:szCs w:val="26"/>
          <w:rtl/>
          <w:lang w:bidi="ar-EG"/>
        </w:rPr>
        <w:t xml:space="preserve"> </w:t>
      </w:r>
      <w:r w:rsidR="00D01925" w:rsidRPr="009C4D0A">
        <w:rPr>
          <w:rFonts w:hint="cs"/>
          <w:color w:val="000000" w:themeColor="text1"/>
          <w:sz w:val="26"/>
          <w:szCs w:val="26"/>
          <w:rtl/>
          <w:lang w:bidi="ar-EG"/>
        </w:rPr>
        <w:t>أسعار الأسهم، كفاءة سوق الأوراق المالية</w:t>
      </w:r>
      <w:r w:rsidR="00080972">
        <w:rPr>
          <w:rFonts w:hint="cs"/>
          <w:color w:val="000000" w:themeColor="text1"/>
          <w:sz w:val="26"/>
          <w:szCs w:val="26"/>
          <w:rtl/>
          <w:lang w:bidi="ar-EG"/>
        </w:rPr>
        <w:t>.</w:t>
      </w:r>
    </w:p>
    <w:p w14:paraId="58227D82" w14:textId="77777777" w:rsidR="00053AF9" w:rsidRPr="009C4D0A" w:rsidRDefault="00053AF9" w:rsidP="00C24E42">
      <w:pPr>
        <w:jc w:val="lowKashida"/>
        <w:rPr>
          <w:rFonts w:ascii="Simplified Arabic" w:eastAsia="Simplified Arabic" w:hAnsi="Simplified Arabic"/>
          <w:color w:val="000000" w:themeColor="text1"/>
          <w:sz w:val="26"/>
          <w:szCs w:val="26"/>
          <w:rtl/>
          <w:lang w:bidi="ar-EG"/>
        </w:rPr>
      </w:pPr>
    </w:p>
    <w:p w14:paraId="2DCC6F3B" w14:textId="16044BAF" w:rsidR="00B658E9" w:rsidRPr="00C85ED3" w:rsidRDefault="00CD13C6" w:rsidP="00C85ED3">
      <w:pPr>
        <w:bidi w:val="0"/>
        <w:spacing w:line="360" w:lineRule="auto"/>
        <w:jc w:val="center"/>
        <w:rPr>
          <w:rFonts w:asciiTheme="majorBidi" w:hAnsiTheme="majorBidi" w:cstheme="majorBidi"/>
          <w:b/>
          <w:bCs/>
          <w:sz w:val="22"/>
          <w:szCs w:val="22"/>
          <w:rtl/>
          <w:lang w:bidi="ar-EG"/>
        </w:rPr>
      </w:pPr>
      <w:r w:rsidRPr="00C85ED3">
        <w:rPr>
          <w:rFonts w:asciiTheme="majorBidi" w:hAnsiTheme="majorBidi" w:cstheme="majorBidi"/>
          <w:b/>
          <w:bCs/>
          <w:sz w:val="34"/>
          <w:szCs w:val="34"/>
        </w:rPr>
        <w:lastRenderedPageBreak/>
        <w:t>The Impact of Accounting Disclosure of Comprehensive Income Items on Stock Price Trends “Test Study”</w:t>
      </w:r>
    </w:p>
    <w:tbl>
      <w:tblPr>
        <w:tblStyle w:val="TableGrid"/>
        <w:tblW w:w="8609" w:type="dxa"/>
        <w:tblInd w:w="108" w:type="dxa"/>
        <w:tblLook w:val="04A0" w:firstRow="1" w:lastRow="0" w:firstColumn="1" w:lastColumn="0" w:noHBand="0" w:noVBand="1"/>
      </w:tblPr>
      <w:tblGrid>
        <w:gridCol w:w="3686"/>
        <w:gridCol w:w="2410"/>
        <w:gridCol w:w="2513"/>
      </w:tblGrid>
      <w:tr w:rsidR="00C85ED3" w:rsidRPr="00C85ED3" w14:paraId="50225486" w14:textId="77777777" w:rsidTr="00B0538C">
        <w:tc>
          <w:tcPr>
            <w:tcW w:w="3686" w:type="dxa"/>
            <w:tcBorders>
              <w:top w:val="nil"/>
              <w:left w:val="nil"/>
              <w:bottom w:val="nil"/>
              <w:right w:val="nil"/>
            </w:tcBorders>
            <w:vAlign w:val="center"/>
          </w:tcPr>
          <w:p w14:paraId="2CDB16EE" w14:textId="77777777" w:rsidR="00CD13C6" w:rsidRPr="00C85ED3" w:rsidRDefault="00CD13C6" w:rsidP="00D43C0E">
            <w:pPr>
              <w:bidi w:val="0"/>
              <w:ind w:left="-57" w:right="-57"/>
              <w:jc w:val="center"/>
              <w:rPr>
                <w:rFonts w:asciiTheme="majorBidi" w:hAnsiTheme="majorBidi" w:cstheme="majorBidi"/>
                <w:b/>
                <w:bCs/>
                <w:sz w:val="22"/>
                <w:szCs w:val="22"/>
              </w:rPr>
            </w:pPr>
            <w:r w:rsidRPr="00C85ED3">
              <w:rPr>
                <w:rFonts w:asciiTheme="majorBidi" w:hAnsiTheme="majorBidi" w:cstheme="majorBidi"/>
                <w:b/>
                <w:bCs/>
                <w:sz w:val="22"/>
                <w:szCs w:val="22"/>
              </w:rPr>
              <w:t>Prof. Dr.</w:t>
            </w:r>
          </w:p>
          <w:p w14:paraId="6C0B703D" w14:textId="77777777" w:rsidR="00CD13C6" w:rsidRPr="00C85ED3" w:rsidRDefault="00CD13C6" w:rsidP="00D43C0E">
            <w:pPr>
              <w:bidi w:val="0"/>
              <w:ind w:left="-57" w:right="-57"/>
              <w:jc w:val="center"/>
              <w:rPr>
                <w:rFonts w:asciiTheme="majorBidi" w:hAnsiTheme="majorBidi" w:cstheme="majorBidi"/>
                <w:b/>
                <w:bCs/>
                <w:sz w:val="22"/>
                <w:szCs w:val="22"/>
              </w:rPr>
            </w:pPr>
            <w:r w:rsidRPr="00C85ED3">
              <w:rPr>
                <w:rFonts w:asciiTheme="majorBidi" w:hAnsiTheme="majorBidi" w:cstheme="majorBidi"/>
                <w:b/>
                <w:bCs/>
                <w:sz w:val="22"/>
                <w:szCs w:val="22"/>
              </w:rPr>
              <w:t xml:space="preserve">Samy Mohamed Ahmed </w:t>
            </w:r>
            <w:proofErr w:type="spellStart"/>
            <w:r w:rsidRPr="00C85ED3">
              <w:rPr>
                <w:rFonts w:asciiTheme="majorBidi" w:hAnsiTheme="majorBidi" w:cstheme="majorBidi"/>
                <w:b/>
                <w:bCs/>
                <w:sz w:val="22"/>
                <w:szCs w:val="22"/>
              </w:rPr>
              <w:t>Ghonemi</w:t>
            </w:r>
            <w:proofErr w:type="spellEnd"/>
          </w:p>
        </w:tc>
        <w:tc>
          <w:tcPr>
            <w:tcW w:w="2410" w:type="dxa"/>
            <w:tcBorders>
              <w:top w:val="nil"/>
              <w:left w:val="nil"/>
              <w:bottom w:val="nil"/>
              <w:right w:val="nil"/>
            </w:tcBorders>
            <w:vAlign w:val="center"/>
          </w:tcPr>
          <w:p w14:paraId="29BA1971" w14:textId="77777777" w:rsidR="00CD13C6" w:rsidRPr="00C85ED3" w:rsidRDefault="00CD13C6" w:rsidP="00D43C0E">
            <w:pPr>
              <w:bidi w:val="0"/>
              <w:ind w:left="-57" w:right="-57"/>
              <w:jc w:val="center"/>
              <w:rPr>
                <w:rFonts w:asciiTheme="majorBidi" w:hAnsiTheme="majorBidi" w:cstheme="majorBidi"/>
                <w:b/>
                <w:bCs/>
                <w:sz w:val="22"/>
                <w:szCs w:val="22"/>
              </w:rPr>
            </w:pPr>
            <w:r w:rsidRPr="00C85ED3">
              <w:rPr>
                <w:rFonts w:asciiTheme="majorBidi" w:hAnsiTheme="majorBidi" w:cstheme="majorBidi"/>
                <w:b/>
                <w:bCs/>
                <w:sz w:val="22"/>
                <w:szCs w:val="22"/>
              </w:rPr>
              <w:t>Dr.</w:t>
            </w:r>
          </w:p>
          <w:p w14:paraId="0DDDD4D1" w14:textId="636EC8C2" w:rsidR="00CD13C6" w:rsidRPr="00C85ED3" w:rsidRDefault="00CD13C6" w:rsidP="00D43C0E">
            <w:pPr>
              <w:bidi w:val="0"/>
              <w:ind w:left="-57" w:right="-57"/>
              <w:jc w:val="center"/>
              <w:rPr>
                <w:rFonts w:asciiTheme="majorBidi" w:hAnsiTheme="majorBidi" w:cstheme="majorBidi"/>
                <w:b/>
                <w:bCs/>
                <w:sz w:val="22"/>
                <w:szCs w:val="22"/>
              </w:rPr>
            </w:pPr>
            <w:r w:rsidRPr="00C85ED3">
              <w:rPr>
                <w:rFonts w:asciiTheme="majorBidi" w:hAnsiTheme="majorBidi" w:cstheme="majorBidi"/>
                <w:b/>
                <w:bCs/>
                <w:sz w:val="22"/>
                <w:szCs w:val="22"/>
              </w:rPr>
              <w:t>Sabra Ahmed Abdel Aal</w:t>
            </w:r>
          </w:p>
        </w:tc>
        <w:tc>
          <w:tcPr>
            <w:tcW w:w="2513" w:type="dxa"/>
            <w:tcBorders>
              <w:top w:val="nil"/>
              <w:left w:val="nil"/>
              <w:bottom w:val="nil"/>
              <w:right w:val="nil"/>
            </w:tcBorders>
            <w:vAlign w:val="center"/>
          </w:tcPr>
          <w:p w14:paraId="56D54E1B" w14:textId="5A3140C9" w:rsidR="00CD13C6" w:rsidRPr="00C85ED3" w:rsidRDefault="00CD13C6" w:rsidP="00D43C0E">
            <w:pPr>
              <w:bidi w:val="0"/>
              <w:ind w:left="-57" w:right="-57"/>
              <w:jc w:val="center"/>
              <w:rPr>
                <w:rFonts w:asciiTheme="majorBidi" w:hAnsiTheme="majorBidi" w:cstheme="majorBidi"/>
                <w:b/>
                <w:bCs/>
                <w:sz w:val="22"/>
                <w:szCs w:val="22"/>
              </w:rPr>
            </w:pPr>
            <w:r w:rsidRPr="00C85ED3">
              <w:rPr>
                <w:rFonts w:asciiTheme="majorBidi" w:hAnsiTheme="majorBidi" w:cstheme="majorBidi"/>
                <w:b/>
                <w:bCs/>
                <w:sz w:val="22"/>
                <w:szCs w:val="22"/>
              </w:rPr>
              <w:t>Nahed Rizkallah Aziz Dawoud</w:t>
            </w:r>
          </w:p>
        </w:tc>
      </w:tr>
      <w:tr w:rsidR="00C85ED3" w:rsidRPr="00C85ED3" w14:paraId="33C8EEBD" w14:textId="77777777" w:rsidTr="00B05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vAlign w:val="center"/>
          </w:tcPr>
          <w:p w14:paraId="2CC01ED7" w14:textId="77777777" w:rsidR="00C85ED3" w:rsidRDefault="00CD13C6" w:rsidP="00D43C0E">
            <w:pPr>
              <w:bidi w:val="0"/>
              <w:ind w:left="-57" w:right="-57"/>
              <w:jc w:val="center"/>
              <w:rPr>
                <w:rFonts w:asciiTheme="majorBidi" w:hAnsiTheme="majorBidi" w:cstheme="majorBidi"/>
                <w:b/>
                <w:bCs/>
                <w:sz w:val="18"/>
                <w:szCs w:val="18"/>
              </w:rPr>
            </w:pPr>
            <w:r w:rsidRPr="00C85ED3">
              <w:rPr>
                <w:rFonts w:asciiTheme="majorBidi" w:hAnsiTheme="majorBidi" w:cstheme="majorBidi"/>
                <w:b/>
                <w:bCs/>
                <w:sz w:val="18"/>
                <w:szCs w:val="18"/>
              </w:rPr>
              <w:t xml:space="preserve">Professor of Financial Accounting &amp; </w:t>
            </w:r>
          </w:p>
          <w:p w14:paraId="5011760A" w14:textId="616BF818" w:rsidR="00CD13C6" w:rsidRPr="00C85ED3" w:rsidRDefault="00CD13C6" w:rsidP="00C85ED3">
            <w:pPr>
              <w:bidi w:val="0"/>
              <w:ind w:left="-57" w:right="-57"/>
              <w:jc w:val="center"/>
              <w:rPr>
                <w:rFonts w:asciiTheme="majorBidi" w:hAnsiTheme="majorBidi" w:cstheme="majorBidi"/>
                <w:b/>
                <w:bCs/>
                <w:sz w:val="18"/>
                <w:szCs w:val="18"/>
              </w:rPr>
            </w:pPr>
            <w:r w:rsidRPr="00C85ED3">
              <w:rPr>
                <w:rFonts w:asciiTheme="majorBidi" w:hAnsiTheme="majorBidi" w:cstheme="majorBidi"/>
                <w:b/>
                <w:bCs/>
                <w:sz w:val="18"/>
                <w:szCs w:val="18"/>
              </w:rPr>
              <w:t>Dean of the College</w:t>
            </w:r>
          </w:p>
          <w:p w14:paraId="48EA43E9" w14:textId="77777777" w:rsidR="00CD13C6" w:rsidRPr="00C85ED3" w:rsidRDefault="00CD13C6" w:rsidP="00D43C0E">
            <w:pPr>
              <w:bidi w:val="0"/>
              <w:ind w:left="-57" w:right="-57"/>
              <w:jc w:val="center"/>
              <w:rPr>
                <w:rFonts w:asciiTheme="majorBidi" w:hAnsiTheme="majorBidi" w:cstheme="majorBidi"/>
                <w:b/>
                <w:bCs/>
                <w:sz w:val="18"/>
                <w:szCs w:val="18"/>
              </w:rPr>
            </w:pPr>
            <w:r w:rsidRPr="00C85ED3">
              <w:rPr>
                <w:rFonts w:asciiTheme="majorBidi" w:hAnsiTheme="majorBidi" w:cstheme="majorBidi"/>
                <w:b/>
                <w:bCs/>
                <w:sz w:val="18"/>
                <w:szCs w:val="18"/>
              </w:rPr>
              <w:t xml:space="preserve">Faculty of Business - </w:t>
            </w:r>
            <w:proofErr w:type="spellStart"/>
            <w:r w:rsidRPr="00C85ED3">
              <w:rPr>
                <w:rFonts w:asciiTheme="majorBidi" w:hAnsiTheme="majorBidi" w:cstheme="majorBidi"/>
                <w:b/>
                <w:bCs/>
                <w:sz w:val="18"/>
                <w:szCs w:val="18"/>
              </w:rPr>
              <w:t>Benha</w:t>
            </w:r>
            <w:proofErr w:type="spellEnd"/>
            <w:r w:rsidRPr="00C85ED3">
              <w:rPr>
                <w:rFonts w:asciiTheme="majorBidi" w:hAnsiTheme="majorBidi" w:cstheme="majorBidi"/>
                <w:b/>
                <w:bCs/>
                <w:sz w:val="18"/>
                <w:szCs w:val="18"/>
              </w:rPr>
              <w:t xml:space="preserve"> University</w:t>
            </w:r>
          </w:p>
        </w:tc>
        <w:tc>
          <w:tcPr>
            <w:tcW w:w="2410" w:type="dxa"/>
            <w:vAlign w:val="center"/>
          </w:tcPr>
          <w:p w14:paraId="333F7F08" w14:textId="77777777" w:rsidR="00CD13C6" w:rsidRPr="00C85ED3" w:rsidRDefault="00CD13C6" w:rsidP="00D43C0E">
            <w:pPr>
              <w:bidi w:val="0"/>
              <w:ind w:left="-57" w:right="-57"/>
              <w:jc w:val="center"/>
              <w:rPr>
                <w:rFonts w:asciiTheme="majorBidi" w:hAnsiTheme="majorBidi" w:cstheme="majorBidi"/>
                <w:b/>
                <w:bCs/>
                <w:sz w:val="18"/>
                <w:szCs w:val="18"/>
              </w:rPr>
            </w:pPr>
            <w:r w:rsidRPr="00C85ED3">
              <w:rPr>
                <w:rFonts w:asciiTheme="majorBidi" w:hAnsiTheme="majorBidi" w:cstheme="majorBidi"/>
                <w:b/>
                <w:bCs/>
                <w:sz w:val="18"/>
                <w:szCs w:val="18"/>
              </w:rPr>
              <w:t>Accounting Lecturer</w:t>
            </w:r>
          </w:p>
          <w:p w14:paraId="5E3C1929" w14:textId="25F92735" w:rsidR="00CD13C6" w:rsidRPr="00C85ED3" w:rsidRDefault="00CD13C6" w:rsidP="00D43C0E">
            <w:pPr>
              <w:bidi w:val="0"/>
              <w:ind w:left="-57" w:right="-57"/>
              <w:jc w:val="center"/>
              <w:rPr>
                <w:rFonts w:asciiTheme="majorBidi" w:hAnsiTheme="majorBidi" w:cstheme="majorBidi"/>
                <w:b/>
                <w:bCs/>
                <w:sz w:val="18"/>
                <w:szCs w:val="18"/>
              </w:rPr>
            </w:pPr>
            <w:r w:rsidRPr="00C85ED3">
              <w:rPr>
                <w:rFonts w:asciiTheme="majorBidi" w:hAnsiTheme="majorBidi" w:cstheme="majorBidi"/>
                <w:b/>
                <w:bCs/>
                <w:sz w:val="18"/>
                <w:szCs w:val="18"/>
              </w:rPr>
              <w:t xml:space="preserve">Faculty of Business - </w:t>
            </w:r>
            <w:proofErr w:type="spellStart"/>
            <w:r w:rsidRPr="00C85ED3">
              <w:rPr>
                <w:rFonts w:asciiTheme="majorBidi" w:hAnsiTheme="majorBidi" w:cstheme="majorBidi"/>
                <w:b/>
                <w:bCs/>
                <w:sz w:val="18"/>
                <w:szCs w:val="18"/>
              </w:rPr>
              <w:t>Benha</w:t>
            </w:r>
            <w:proofErr w:type="spellEnd"/>
            <w:r w:rsidRPr="00C85ED3">
              <w:rPr>
                <w:rFonts w:asciiTheme="majorBidi" w:hAnsiTheme="majorBidi" w:cstheme="majorBidi"/>
                <w:b/>
                <w:bCs/>
                <w:sz w:val="18"/>
                <w:szCs w:val="18"/>
              </w:rPr>
              <w:t xml:space="preserve"> University</w:t>
            </w:r>
          </w:p>
        </w:tc>
        <w:tc>
          <w:tcPr>
            <w:tcW w:w="2513" w:type="dxa"/>
            <w:vAlign w:val="center"/>
          </w:tcPr>
          <w:p w14:paraId="06199055" w14:textId="77777777" w:rsidR="00C85ED3" w:rsidRDefault="00CD13C6" w:rsidP="00D43C0E">
            <w:pPr>
              <w:bidi w:val="0"/>
              <w:ind w:left="-57" w:right="-57"/>
              <w:jc w:val="center"/>
              <w:rPr>
                <w:rFonts w:asciiTheme="majorBidi" w:hAnsiTheme="majorBidi" w:cstheme="majorBidi"/>
                <w:b/>
                <w:bCs/>
                <w:sz w:val="18"/>
                <w:szCs w:val="18"/>
              </w:rPr>
            </w:pPr>
            <w:r w:rsidRPr="00C85ED3">
              <w:rPr>
                <w:rFonts w:asciiTheme="majorBidi" w:hAnsiTheme="majorBidi" w:cstheme="majorBidi"/>
                <w:b/>
                <w:bCs/>
                <w:sz w:val="18"/>
                <w:szCs w:val="18"/>
              </w:rPr>
              <w:t xml:space="preserve">Demonstrator in </w:t>
            </w:r>
          </w:p>
          <w:p w14:paraId="464DDA9F" w14:textId="1DC2B7AA" w:rsidR="00CD13C6" w:rsidRPr="00C85ED3" w:rsidRDefault="00CD13C6" w:rsidP="00C85ED3">
            <w:pPr>
              <w:bidi w:val="0"/>
              <w:ind w:left="-57" w:right="-57"/>
              <w:jc w:val="center"/>
              <w:rPr>
                <w:rFonts w:asciiTheme="majorBidi" w:hAnsiTheme="majorBidi" w:cstheme="majorBidi"/>
                <w:b/>
                <w:bCs/>
                <w:sz w:val="18"/>
                <w:szCs w:val="18"/>
              </w:rPr>
            </w:pPr>
            <w:r w:rsidRPr="00C85ED3">
              <w:rPr>
                <w:rFonts w:asciiTheme="majorBidi" w:hAnsiTheme="majorBidi" w:cstheme="majorBidi"/>
                <w:b/>
                <w:bCs/>
                <w:sz w:val="18"/>
                <w:szCs w:val="18"/>
              </w:rPr>
              <w:t>Accounting Department</w:t>
            </w:r>
          </w:p>
        </w:tc>
      </w:tr>
    </w:tbl>
    <w:p w14:paraId="16D3EED9" w14:textId="77777777" w:rsidR="00B658E9" w:rsidRPr="009C4D0A" w:rsidRDefault="00B658E9" w:rsidP="00C85ED3">
      <w:pPr>
        <w:bidi w:val="0"/>
        <w:spacing w:before="240"/>
        <w:rPr>
          <w:b/>
          <w:bCs/>
          <w:color w:val="000000" w:themeColor="text1"/>
          <w:sz w:val="32"/>
          <w:szCs w:val="32"/>
          <w:rtl/>
          <w:lang w:bidi="ar-EG"/>
        </w:rPr>
      </w:pPr>
      <w:r w:rsidRPr="009C4D0A">
        <w:rPr>
          <w:b/>
          <w:bCs/>
          <w:color w:val="000000" w:themeColor="text1"/>
          <w:sz w:val="32"/>
          <w:szCs w:val="32"/>
          <w:lang w:bidi="ar-EG"/>
        </w:rPr>
        <w:t>Abstract:</w:t>
      </w:r>
    </w:p>
    <w:p w14:paraId="5B7EA816" w14:textId="2E069471" w:rsidR="00B658E9" w:rsidRPr="009C4D0A" w:rsidRDefault="00B658E9" w:rsidP="00C85ED3">
      <w:pPr>
        <w:bidi w:val="0"/>
        <w:spacing w:before="120"/>
        <w:ind w:firstLine="720"/>
        <w:jc w:val="both"/>
        <w:rPr>
          <w:color w:val="000000" w:themeColor="text1"/>
          <w:sz w:val="26"/>
          <w:szCs w:val="26"/>
          <w:lang w:bidi="ar-EG"/>
        </w:rPr>
      </w:pPr>
      <w:r w:rsidRPr="009C4D0A">
        <w:rPr>
          <w:color w:val="000000" w:themeColor="text1"/>
          <w:sz w:val="26"/>
          <w:szCs w:val="26"/>
          <w:lang w:bidi="ar-EG"/>
        </w:rPr>
        <w:t xml:space="preserve">The aim of the research is to study the impact </w:t>
      </w:r>
      <w:proofErr w:type="gramStart"/>
      <w:r w:rsidRPr="009C4D0A">
        <w:rPr>
          <w:color w:val="000000" w:themeColor="text1"/>
          <w:sz w:val="26"/>
          <w:szCs w:val="26"/>
          <w:lang w:bidi="ar-EG"/>
        </w:rPr>
        <w:t xml:space="preserve">of </w:t>
      </w:r>
      <w:r w:rsidR="00DF5E02" w:rsidRPr="009C4D0A">
        <w:rPr>
          <w:rFonts w:hint="cs"/>
          <w:color w:val="000000" w:themeColor="text1"/>
          <w:sz w:val="26"/>
          <w:szCs w:val="26"/>
          <w:rtl/>
          <w:lang w:bidi="ar-EG"/>
        </w:rPr>
        <w:t xml:space="preserve"> </w:t>
      </w:r>
      <w:r w:rsidR="00DF5E02" w:rsidRPr="009C4D0A">
        <w:rPr>
          <w:color w:val="000000" w:themeColor="text1"/>
          <w:sz w:val="26"/>
          <w:szCs w:val="26"/>
          <w:lang w:bidi="ar-EG"/>
        </w:rPr>
        <w:t>accounting</w:t>
      </w:r>
      <w:proofErr w:type="gramEnd"/>
      <w:r w:rsidR="00DF5E02" w:rsidRPr="009C4D0A">
        <w:rPr>
          <w:color w:val="000000" w:themeColor="text1"/>
          <w:sz w:val="26"/>
          <w:szCs w:val="26"/>
          <w:lang w:bidi="ar-EG"/>
        </w:rPr>
        <w:t xml:space="preserve"> disc</w:t>
      </w:r>
      <w:r w:rsidR="007966DE" w:rsidRPr="009C4D0A">
        <w:rPr>
          <w:color w:val="000000" w:themeColor="text1"/>
          <w:sz w:val="26"/>
          <w:szCs w:val="26"/>
          <w:lang w:bidi="ar-EG"/>
        </w:rPr>
        <w:t>l</w:t>
      </w:r>
      <w:r w:rsidR="00DF5E02" w:rsidRPr="009C4D0A">
        <w:rPr>
          <w:color w:val="000000" w:themeColor="text1"/>
          <w:sz w:val="26"/>
          <w:szCs w:val="26"/>
          <w:lang w:bidi="ar-EG"/>
        </w:rPr>
        <w:t xml:space="preserve">osure of comprehensive income items on </w:t>
      </w:r>
      <w:r w:rsidR="007966DE" w:rsidRPr="009C4D0A">
        <w:rPr>
          <w:color w:val="000000" w:themeColor="text1"/>
          <w:sz w:val="26"/>
          <w:szCs w:val="26"/>
          <w:lang w:bidi="ar-EG"/>
        </w:rPr>
        <w:t>stock price trends</w:t>
      </w:r>
      <w:r w:rsidRPr="009C4D0A">
        <w:rPr>
          <w:color w:val="000000" w:themeColor="text1"/>
          <w:sz w:val="26"/>
          <w:szCs w:val="26"/>
          <w:lang w:bidi="ar-EG"/>
        </w:rPr>
        <w:t>.</w:t>
      </w:r>
      <w:r w:rsidR="00DF5E02" w:rsidRPr="009C4D0A">
        <w:rPr>
          <w:color w:val="000000" w:themeColor="text1"/>
          <w:sz w:val="26"/>
          <w:szCs w:val="26"/>
          <w:lang w:bidi="ar-EG"/>
        </w:rPr>
        <w:t xml:space="preserve"> The researcher presented previous studies related to accounting disclosure of comprehensive income and its impact on investors</w:t>
      </w:r>
      <w:r w:rsidR="00DF5E02" w:rsidRPr="009C4D0A">
        <w:rPr>
          <w:rFonts w:hint="cs"/>
          <w:color w:val="000000" w:themeColor="text1"/>
          <w:sz w:val="26"/>
          <w:szCs w:val="26"/>
          <w:rtl/>
          <w:lang w:bidi="ar-EG"/>
        </w:rPr>
        <w:t>’</w:t>
      </w:r>
      <w:r w:rsidR="00DF5E02" w:rsidRPr="009C4D0A">
        <w:rPr>
          <w:color w:val="000000" w:themeColor="text1"/>
          <w:sz w:val="26"/>
          <w:szCs w:val="26"/>
          <w:lang w:bidi="ar-EG"/>
        </w:rPr>
        <w:t xml:space="preserve"> decisions</w:t>
      </w:r>
      <w:r w:rsidRPr="009C4D0A">
        <w:rPr>
          <w:color w:val="000000" w:themeColor="text1"/>
          <w:sz w:val="26"/>
          <w:szCs w:val="26"/>
          <w:lang w:bidi="ar-EG"/>
        </w:rPr>
        <w:t>, and then derive the hypotheses on which the research is based.</w:t>
      </w:r>
    </w:p>
    <w:p w14:paraId="2503491B" w14:textId="069ED04A" w:rsidR="00B658E9" w:rsidRPr="009C4D0A" w:rsidRDefault="00B658E9" w:rsidP="00C85ED3">
      <w:pPr>
        <w:bidi w:val="0"/>
        <w:spacing w:before="120"/>
        <w:ind w:firstLine="720"/>
        <w:jc w:val="both"/>
        <w:rPr>
          <w:color w:val="000000" w:themeColor="text1"/>
          <w:sz w:val="26"/>
          <w:szCs w:val="26"/>
          <w:lang w:bidi="ar-EG"/>
        </w:rPr>
      </w:pPr>
      <w:r w:rsidRPr="009C4D0A">
        <w:rPr>
          <w:color w:val="000000" w:themeColor="text1"/>
          <w:sz w:val="26"/>
          <w:szCs w:val="26"/>
          <w:lang w:bidi="ar-EG"/>
        </w:rPr>
        <w:t>The SPSS statistical program was used to enter the primary data obtained from the survey list that was distributed to a sample consisting of (</w:t>
      </w:r>
      <w:r w:rsidR="00700C54" w:rsidRPr="009C4D0A">
        <w:rPr>
          <w:color w:val="000000" w:themeColor="text1"/>
          <w:sz w:val="26"/>
          <w:szCs w:val="26"/>
          <w:lang w:bidi="ar-EG"/>
        </w:rPr>
        <w:t>260</w:t>
      </w:r>
      <w:r w:rsidRPr="009C4D0A">
        <w:rPr>
          <w:color w:val="000000" w:themeColor="text1"/>
          <w:sz w:val="26"/>
          <w:szCs w:val="26"/>
          <w:lang w:bidi="ar-EG"/>
        </w:rPr>
        <w:t xml:space="preserve">) individual </w:t>
      </w:r>
      <w:r w:rsidR="00700C54" w:rsidRPr="009C4D0A">
        <w:rPr>
          <w:color w:val="000000" w:themeColor="text1"/>
          <w:sz w:val="26"/>
          <w:szCs w:val="26"/>
          <w:lang w:bidi="ar-EG"/>
        </w:rPr>
        <w:t xml:space="preserve"> auditors, preparers and users of financial statements and reports</w:t>
      </w:r>
      <w:r w:rsidRPr="009C4D0A">
        <w:rPr>
          <w:color w:val="000000" w:themeColor="text1"/>
          <w:sz w:val="26"/>
          <w:szCs w:val="26"/>
          <w:lang w:bidi="ar-EG"/>
        </w:rPr>
        <w:t>,  faculty members in accounting departments in some faculties of commerce in Egyptian universities</w:t>
      </w:r>
      <w:r w:rsidR="00700C54" w:rsidRPr="009C4D0A">
        <w:rPr>
          <w:color w:val="000000" w:themeColor="text1"/>
          <w:sz w:val="26"/>
          <w:szCs w:val="26"/>
          <w:lang w:bidi="ar-EG"/>
        </w:rPr>
        <w:t>, and financial intermediaries.</w:t>
      </w:r>
    </w:p>
    <w:p w14:paraId="0A1866FB" w14:textId="49CAF6C8" w:rsidR="00B658E9" w:rsidRPr="009C4D0A" w:rsidRDefault="00B658E9" w:rsidP="00C85ED3">
      <w:pPr>
        <w:bidi w:val="0"/>
        <w:spacing w:before="120"/>
        <w:jc w:val="both"/>
        <w:rPr>
          <w:color w:val="000000" w:themeColor="text1"/>
          <w:sz w:val="26"/>
          <w:szCs w:val="26"/>
          <w:highlight w:val="yellow"/>
          <w:lang w:bidi="ar-EG"/>
        </w:rPr>
      </w:pPr>
      <w:r w:rsidRPr="009C4D0A">
        <w:rPr>
          <w:color w:val="000000" w:themeColor="text1"/>
          <w:sz w:val="26"/>
          <w:szCs w:val="26"/>
          <w:lang w:bidi="ar-EG"/>
        </w:rPr>
        <w:t>The results showed</w:t>
      </w:r>
      <w:r w:rsidR="00700C54" w:rsidRPr="009C4D0A">
        <w:rPr>
          <w:color w:val="000000" w:themeColor="text1"/>
          <w:sz w:val="26"/>
          <w:szCs w:val="26"/>
          <w:lang w:bidi="ar-EG"/>
        </w:rPr>
        <w:t xml:space="preserve"> that there is a statis</w:t>
      </w:r>
      <w:r w:rsidR="0017697E" w:rsidRPr="009C4D0A">
        <w:rPr>
          <w:color w:val="000000" w:themeColor="text1"/>
          <w:sz w:val="26"/>
          <w:szCs w:val="26"/>
          <w:lang w:bidi="ar-EG"/>
        </w:rPr>
        <w:t xml:space="preserve">tically significant relationship between accounting disclosure of comprehensive income items and the behavior of </w:t>
      </w:r>
      <w:proofErr w:type="gramStart"/>
      <w:r w:rsidR="0017697E" w:rsidRPr="009C4D0A">
        <w:rPr>
          <w:color w:val="000000" w:themeColor="text1"/>
          <w:sz w:val="26"/>
          <w:szCs w:val="26"/>
          <w:lang w:bidi="ar-EG"/>
        </w:rPr>
        <w:t>stock  prices</w:t>
      </w:r>
      <w:proofErr w:type="gramEnd"/>
      <w:r w:rsidR="0017697E" w:rsidRPr="009C4D0A">
        <w:rPr>
          <w:color w:val="000000" w:themeColor="text1"/>
          <w:sz w:val="26"/>
          <w:szCs w:val="26"/>
          <w:lang w:bidi="ar-EG"/>
        </w:rPr>
        <w:t>, thus influencing the efficiency of the Egyptian stock market. These items are represented in the unrealized gains and losses resulting from revaluation of financial assets available for sale</w:t>
      </w:r>
      <w:r w:rsidR="00303807" w:rsidRPr="009C4D0A">
        <w:rPr>
          <w:color w:val="000000" w:themeColor="text1"/>
          <w:sz w:val="26"/>
          <w:szCs w:val="26"/>
          <w:lang w:bidi="ar-EG"/>
        </w:rPr>
        <w:t xml:space="preserve">, </w:t>
      </w:r>
      <w:r w:rsidR="0017697E" w:rsidRPr="009C4D0A">
        <w:rPr>
          <w:color w:val="000000" w:themeColor="text1"/>
          <w:sz w:val="26"/>
          <w:szCs w:val="26"/>
          <w:lang w:bidi="ar-EG"/>
        </w:rPr>
        <w:t xml:space="preserve">the effective part of the </w:t>
      </w:r>
      <w:r w:rsidR="00303807" w:rsidRPr="009C4D0A">
        <w:rPr>
          <w:color w:val="000000" w:themeColor="text1"/>
          <w:sz w:val="26"/>
          <w:szCs w:val="26"/>
          <w:lang w:bidi="ar-EG"/>
        </w:rPr>
        <w:t>unr</w:t>
      </w:r>
      <w:r w:rsidR="007966DE" w:rsidRPr="009C4D0A">
        <w:rPr>
          <w:color w:val="000000" w:themeColor="text1"/>
          <w:sz w:val="26"/>
          <w:szCs w:val="26"/>
          <w:lang w:bidi="ar-EG"/>
        </w:rPr>
        <w:t>ea</w:t>
      </w:r>
      <w:r w:rsidR="00303807" w:rsidRPr="009C4D0A">
        <w:rPr>
          <w:color w:val="000000" w:themeColor="text1"/>
          <w:sz w:val="26"/>
          <w:szCs w:val="26"/>
          <w:lang w:bidi="ar-EG"/>
        </w:rPr>
        <w:t xml:space="preserve">lized </w:t>
      </w:r>
      <w:r w:rsidR="0017697E" w:rsidRPr="009C4D0A">
        <w:rPr>
          <w:color w:val="000000" w:themeColor="text1"/>
          <w:sz w:val="26"/>
          <w:szCs w:val="26"/>
          <w:lang w:bidi="ar-EG"/>
        </w:rPr>
        <w:t>gains and loss</w:t>
      </w:r>
      <w:r w:rsidR="00303807" w:rsidRPr="009C4D0A">
        <w:rPr>
          <w:color w:val="000000" w:themeColor="text1"/>
          <w:sz w:val="26"/>
          <w:szCs w:val="26"/>
          <w:lang w:bidi="ar-EG"/>
        </w:rPr>
        <w:t>es on hedging instruments used in cash flow hedging, unrealized gains and losses resulting from foreign currency translation adjustments, unrealized actuarial gains and losses on employee benefit plans, and accounting disclosure of change in revaluation surplus for fixed assets and intangible assets.</w:t>
      </w:r>
      <w:r w:rsidRPr="009C4D0A">
        <w:rPr>
          <w:color w:val="000000" w:themeColor="text1"/>
          <w:sz w:val="26"/>
          <w:szCs w:val="26"/>
          <w:lang w:bidi="ar-EG"/>
        </w:rPr>
        <w:t xml:space="preserve"> </w:t>
      </w:r>
      <w:r w:rsidR="00700C54" w:rsidRPr="009C4D0A">
        <w:rPr>
          <w:color w:val="000000" w:themeColor="text1"/>
          <w:sz w:val="26"/>
          <w:szCs w:val="26"/>
          <w:lang w:bidi="ar-EG"/>
        </w:rPr>
        <w:t xml:space="preserve"> </w:t>
      </w:r>
      <w:r w:rsidRPr="009C4D0A">
        <w:rPr>
          <w:color w:val="000000" w:themeColor="text1"/>
          <w:sz w:val="26"/>
          <w:szCs w:val="26"/>
          <w:lang w:bidi="ar-EG"/>
        </w:rPr>
        <w:t xml:space="preserve"> </w:t>
      </w:r>
      <w:r w:rsidR="00700C54" w:rsidRPr="009C4D0A">
        <w:rPr>
          <w:color w:val="000000" w:themeColor="text1"/>
          <w:sz w:val="26"/>
          <w:szCs w:val="26"/>
          <w:lang w:bidi="ar-EG"/>
        </w:rPr>
        <w:t xml:space="preserve"> </w:t>
      </w:r>
      <w:r w:rsidRPr="009C4D0A">
        <w:rPr>
          <w:color w:val="000000" w:themeColor="text1"/>
          <w:sz w:val="26"/>
          <w:szCs w:val="26"/>
          <w:lang w:bidi="ar-EG"/>
        </w:rPr>
        <w:t xml:space="preserve"> </w:t>
      </w:r>
      <w:r w:rsidR="00303807" w:rsidRPr="009C4D0A">
        <w:rPr>
          <w:color w:val="000000" w:themeColor="text1"/>
          <w:sz w:val="26"/>
          <w:szCs w:val="26"/>
          <w:lang w:bidi="ar-EG"/>
        </w:rPr>
        <w:t xml:space="preserve"> </w:t>
      </w:r>
    </w:p>
    <w:p w14:paraId="65335A50" w14:textId="54316912" w:rsidR="00B658E9" w:rsidRPr="009C4D0A" w:rsidRDefault="00B658E9" w:rsidP="00C85ED3">
      <w:pPr>
        <w:bidi w:val="0"/>
        <w:spacing w:before="120"/>
        <w:ind w:firstLine="720"/>
        <w:jc w:val="both"/>
        <w:rPr>
          <w:color w:val="000000" w:themeColor="text1"/>
          <w:sz w:val="26"/>
          <w:szCs w:val="26"/>
          <w:lang w:bidi="ar-EG"/>
        </w:rPr>
      </w:pPr>
      <w:r w:rsidRPr="009C4D0A">
        <w:rPr>
          <w:color w:val="000000" w:themeColor="text1"/>
          <w:sz w:val="26"/>
          <w:szCs w:val="26"/>
          <w:lang w:bidi="ar-EG"/>
        </w:rPr>
        <w:t xml:space="preserve">The study recommended the necessity of </w:t>
      </w:r>
      <w:r w:rsidR="008D1AC1" w:rsidRPr="009C4D0A">
        <w:rPr>
          <w:color w:val="000000" w:themeColor="text1"/>
          <w:sz w:val="26"/>
          <w:szCs w:val="26"/>
          <w:lang w:bidi="ar-EG"/>
        </w:rPr>
        <w:t xml:space="preserve"> oblige businesses listed on the stock market to disclose other comprehensive income items in a separate statement from the traditional income statement</w:t>
      </w:r>
      <w:r w:rsidR="007966DE" w:rsidRPr="009C4D0A">
        <w:rPr>
          <w:color w:val="000000" w:themeColor="text1"/>
          <w:sz w:val="26"/>
          <w:szCs w:val="26"/>
          <w:lang w:bidi="ar-EG"/>
        </w:rPr>
        <w:t xml:space="preserve"> </w:t>
      </w:r>
      <w:r w:rsidR="008D1AC1" w:rsidRPr="009C4D0A">
        <w:rPr>
          <w:color w:val="000000" w:themeColor="text1"/>
          <w:sz w:val="26"/>
          <w:szCs w:val="26"/>
          <w:lang w:bidi="ar-EG"/>
        </w:rPr>
        <w:t>which helps increase the transparency of the financial statements, taking comprehensive income as a measure of performance along</w:t>
      </w:r>
      <w:r w:rsidR="000D75A5" w:rsidRPr="009C4D0A">
        <w:rPr>
          <w:color w:val="000000" w:themeColor="text1"/>
          <w:sz w:val="26"/>
          <w:szCs w:val="26"/>
          <w:lang w:bidi="ar-EG"/>
        </w:rPr>
        <w:t>side traditional net income because it includes all sources of value maximization,</w:t>
      </w:r>
      <w:r w:rsidR="007966DE" w:rsidRPr="009C4D0A">
        <w:rPr>
          <w:color w:val="000000" w:themeColor="text1"/>
          <w:sz w:val="26"/>
          <w:szCs w:val="26"/>
          <w:lang w:bidi="ar-EG"/>
        </w:rPr>
        <w:t xml:space="preserve"> </w:t>
      </w:r>
      <w:r w:rsidR="000D75A5" w:rsidRPr="009C4D0A">
        <w:rPr>
          <w:color w:val="000000" w:themeColor="text1"/>
          <w:sz w:val="26"/>
          <w:szCs w:val="26"/>
          <w:lang w:bidi="ar-EG"/>
        </w:rPr>
        <w:t>spreading awareness of the importance of disclosing comprehensive income items by holding training courses for accountants, financial analysts and other users, expanding accounting disclosure because of its positive impact on stock prices in the stock market.</w:t>
      </w:r>
    </w:p>
    <w:p w14:paraId="292FA6E9" w14:textId="17088E97" w:rsidR="00C65B31" w:rsidRPr="009C4D0A" w:rsidRDefault="00B658E9" w:rsidP="00C85ED3">
      <w:pPr>
        <w:bidi w:val="0"/>
        <w:spacing w:before="120"/>
        <w:ind w:left="1440" w:hanging="1440"/>
        <w:jc w:val="both"/>
        <w:rPr>
          <w:rFonts w:ascii="Simplified Arabic" w:eastAsia="Simplified Arabic" w:hAnsi="Simplified Arabic"/>
          <w:color w:val="000000" w:themeColor="text1"/>
          <w:sz w:val="26"/>
          <w:szCs w:val="26"/>
          <w:rtl/>
          <w:lang w:bidi="ar-EG"/>
        </w:rPr>
      </w:pPr>
      <w:r w:rsidRPr="009C4D0A">
        <w:rPr>
          <w:b/>
          <w:bCs/>
          <w:color w:val="000000" w:themeColor="text1"/>
          <w:sz w:val="26"/>
          <w:szCs w:val="26"/>
          <w:lang w:bidi="ar-EG"/>
        </w:rPr>
        <w:t>Keywords</w:t>
      </w:r>
      <w:r w:rsidRPr="009C4D0A">
        <w:rPr>
          <w:color w:val="000000" w:themeColor="text1"/>
          <w:sz w:val="26"/>
          <w:szCs w:val="26"/>
          <w:lang w:bidi="ar-EG"/>
        </w:rPr>
        <w:t xml:space="preserve">: </w:t>
      </w:r>
      <w:r w:rsidR="000D75A5" w:rsidRPr="009C4D0A">
        <w:rPr>
          <w:color w:val="000000" w:themeColor="text1"/>
          <w:sz w:val="26"/>
          <w:szCs w:val="26"/>
          <w:lang w:bidi="ar-EG"/>
        </w:rPr>
        <w:t xml:space="preserve"> </w:t>
      </w:r>
      <w:r w:rsidR="007966DE" w:rsidRPr="009C4D0A">
        <w:rPr>
          <w:color w:val="000000" w:themeColor="text1"/>
          <w:sz w:val="26"/>
          <w:szCs w:val="26"/>
          <w:lang w:bidi="ar-EG"/>
        </w:rPr>
        <w:t>Comprehensive Income Items, Stock Prices, Stock Market Efficiency.</w:t>
      </w:r>
      <w:r w:rsidR="000D75A5" w:rsidRPr="009C4D0A">
        <w:rPr>
          <w:color w:val="000000" w:themeColor="text1"/>
          <w:sz w:val="26"/>
          <w:szCs w:val="26"/>
          <w:lang w:bidi="ar-EG"/>
        </w:rPr>
        <w:t xml:space="preserve"> </w:t>
      </w:r>
      <w:r w:rsidR="007966DE" w:rsidRPr="009C4D0A">
        <w:rPr>
          <w:color w:val="000000" w:themeColor="text1"/>
          <w:sz w:val="26"/>
          <w:szCs w:val="26"/>
          <w:lang w:bidi="ar-EG"/>
        </w:rPr>
        <w:t xml:space="preserve"> </w:t>
      </w:r>
      <w:r w:rsidR="000D75A5" w:rsidRPr="009C4D0A">
        <w:rPr>
          <w:color w:val="000000" w:themeColor="text1"/>
          <w:sz w:val="26"/>
          <w:szCs w:val="26"/>
          <w:lang w:bidi="ar-EG"/>
        </w:rPr>
        <w:t xml:space="preserve"> </w:t>
      </w:r>
    </w:p>
    <w:p w14:paraId="2422F138" w14:textId="77777777" w:rsidR="00C65B31" w:rsidRPr="009C4D0A" w:rsidRDefault="00C65B31" w:rsidP="00C24E42">
      <w:pPr>
        <w:pStyle w:val="ListParagraph"/>
        <w:numPr>
          <w:ilvl w:val="0"/>
          <w:numId w:val="2"/>
        </w:numPr>
        <w:ind w:left="360"/>
        <w:contextualSpacing w:val="0"/>
        <w:jc w:val="lowKashida"/>
        <w:rPr>
          <w:b/>
          <w:bCs/>
          <w:color w:val="000000" w:themeColor="text1"/>
          <w:sz w:val="32"/>
          <w:szCs w:val="32"/>
          <w:lang w:bidi="ar-EG"/>
        </w:rPr>
      </w:pPr>
      <w:r w:rsidRPr="009C4D0A">
        <w:rPr>
          <w:rFonts w:hint="cs"/>
          <w:b/>
          <w:bCs/>
          <w:color w:val="000000" w:themeColor="text1"/>
          <w:sz w:val="32"/>
          <w:szCs w:val="32"/>
          <w:rtl/>
          <w:lang w:bidi="ar-EG"/>
        </w:rPr>
        <w:lastRenderedPageBreak/>
        <w:t>الإطار العام للبحث:</w:t>
      </w:r>
    </w:p>
    <w:p w14:paraId="27FFA20E" w14:textId="1C4033B3" w:rsidR="00C65B31" w:rsidRPr="00C85ED3" w:rsidRDefault="00C65B31" w:rsidP="008B6AE2">
      <w:pPr>
        <w:jc w:val="lowKashida"/>
        <w:rPr>
          <w:b/>
          <w:bCs/>
          <w:color w:val="000000" w:themeColor="text1"/>
          <w:sz w:val="30"/>
          <w:szCs w:val="30"/>
          <w:rtl/>
          <w:lang w:bidi="ar-EG"/>
        </w:rPr>
      </w:pPr>
      <w:r w:rsidRPr="00C85ED3">
        <w:rPr>
          <w:rFonts w:hint="cs"/>
          <w:b/>
          <w:bCs/>
          <w:color w:val="000000" w:themeColor="text1"/>
          <w:sz w:val="30"/>
          <w:szCs w:val="30"/>
          <w:rtl/>
          <w:lang w:bidi="ar-EG"/>
        </w:rPr>
        <w:t>1/1</w:t>
      </w:r>
      <w:r w:rsidR="000D0D75" w:rsidRPr="00C85ED3">
        <w:rPr>
          <w:rFonts w:hint="cs"/>
          <w:b/>
          <w:bCs/>
          <w:color w:val="000000" w:themeColor="text1"/>
          <w:sz w:val="30"/>
          <w:szCs w:val="30"/>
          <w:rtl/>
          <w:lang w:bidi="ar-EG"/>
        </w:rPr>
        <w:t xml:space="preserve"> مقدمة و</w:t>
      </w:r>
      <w:r w:rsidRPr="00C85ED3">
        <w:rPr>
          <w:rFonts w:hint="cs"/>
          <w:b/>
          <w:bCs/>
          <w:color w:val="000000" w:themeColor="text1"/>
          <w:sz w:val="30"/>
          <w:szCs w:val="30"/>
          <w:rtl/>
          <w:lang w:bidi="ar-EG"/>
        </w:rPr>
        <w:t>مشكلة البحث:</w:t>
      </w:r>
      <w:r w:rsidR="000D0D75" w:rsidRPr="00C85ED3">
        <w:rPr>
          <w:rFonts w:hint="cs"/>
          <w:color w:val="000000" w:themeColor="text1"/>
          <w:sz w:val="30"/>
          <w:szCs w:val="30"/>
          <w:rtl/>
          <w:lang w:bidi="ar-EG"/>
        </w:rPr>
        <w:t xml:space="preserve"> </w:t>
      </w:r>
    </w:p>
    <w:p w14:paraId="277A5C1A" w14:textId="65EA7C1A" w:rsidR="000D0D75" w:rsidRPr="005920A4" w:rsidRDefault="000D0D75" w:rsidP="0082140D">
      <w:pPr>
        <w:ind w:firstLine="720"/>
        <w:jc w:val="lowKashida"/>
        <w:rPr>
          <w:color w:val="000000" w:themeColor="text1"/>
          <w:sz w:val="26"/>
          <w:szCs w:val="26"/>
          <w:vertAlign w:val="superscript"/>
          <w:rtl/>
          <w:lang w:bidi="ar-EG"/>
        </w:rPr>
      </w:pPr>
      <w:r w:rsidRPr="005920A4">
        <w:rPr>
          <w:rFonts w:hint="cs"/>
          <w:color w:val="000000" w:themeColor="text1"/>
          <w:sz w:val="26"/>
          <w:szCs w:val="26"/>
          <w:rtl/>
          <w:lang w:bidi="ar-EG"/>
        </w:rPr>
        <w:t xml:space="preserve">يُعتبر قرار الاستثمار في الأوراق المالية من القرارات الهامة للمستثمر خاصة إذا ما وجدت أمامه فرص استثمارية بديلة تختلف من حيث عوائدها ومخاطرها، لذا يتطلب الأمر توافر معلومات دقيقة وموضوعية يمكن الاعتماد عليها في تحديد أسعار الأسهم على أساس سليم، وبالرغم من أن القوائم والتقارير المالية تعد أحد أهم مصادر توفير المعلومات إلا أنه يتوقف نجاح صنع القرارات من قبل المستثمرين في سوق الأوراق المالية على مدى سلامة وملاءمة المعلومات </w:t>
      </w:r>
      <w:proofErr w:type="spellStart"/>
      <w:r w:rsidRPr="005920A4">
        <w:rPr>
          <w:rFonts w:hint="cs"/>
          <w:color w:val="000000" w:themeColor="text1"/>
          <w:sz w:val="26"/>
          <w:szCs w:val="26"/>
          <w:rtl/>
          <w:lang w:bidi="ar-EG"/>
        </w:rPr>
        <w:t>التى</w:t>
      </w:r>
      <w:proofErr w:type="spellEnd"/>
      <w:r w:rsidRPr="005920A4">
        <w:rPr>
          <w:rFonts w:hint="cs"/>
          <w:color w:val="000000" w:themeColor="text1"/>
          <w:sz w:val="26"/>
          <w:szCs w:val="26"/>
          <w:rtl/>
          <w:lang w:bidi="ar-EG"/>
        </w:rPr>
        <w:t xml:space="preserve"> توفرها تلك القوائم والتقارير المالية، ويرجع ذلك إلى ما ينتاب التقارير المالية من قصور في تلبية احتياجات مستخدمو التقارير المالية في صنع القرارات، مما أدى إلى زيادة الاهتمام في السنوات الأخيرة بالتقارير المالية من قبل المنظمات والهيئات المهنية، سواء فيما يتعلق بشفافية الإفصاح الذى تتضمنه تلك التقارير وجودته أو توسيع نطاق هذا الإفصاح ليتضمن مزيداً من المعلومات المفيدة للمستثمرين (يونس، 2010، ص 176). </w:t>
      </w:r>
      <w:r w:rsidRPr="005920A4">
        <w:rPr>
          <w:rFonts w:hint="cs"/>
          <w:color w:val="000000" w:themeColor="text1"/>
          <w:sz w:val="26"/>
          <w:szCs w:val="26"/>
          <w:vertAlign w:val="superscript"/>
          <w:rtl/>
          <w:lang w:bidi="ar-EG"/>
        </w:rPr>
        <w:t xml:space="preserve">  </w:t>
      </w:r>
    </w:p>
    <w:p w14:paraId="1C2C0D9E" w14:textId="26A390D5" w:rsidR="000D0D75" w:rsidRPr="005920A4" w:rsidRDefault="000D0D75" w:rsidP="00C24E42">
      <w:pPr>
        <w:ind w:firstLine="720"/>
        <w:jc w:val="lowKashida"/>
        <w:rPr>
          <w:color w:val="000000" w:themeColor="text1"/>
          <w:sz w:val="26"/>
          <w:szCs w:val="26"/>
          <w:rtl/>
          <w:lang w:bidi="ar-EG"/>
        </w:rPr>
      </w:pPr>
      <w:r w:rsidRPr="005920A4">
        <w:rPr>
          <w:rFonts w:hint="cs"/>
          <w:color w:val="000000" w:themeColor="text1"/>
          <w:sz w:val="26"/>
          <w:szCs w:val="26"/>
          <w:rtl/>
          <w:lang w:bidi="ar-EG"/>
        </w:rPr>
        <w:t xml:space="preserve">ويُعتبر رقم صافي الدخل من أهم الأرقام </w:t>
      </w:r>
      <w:proofErr w:type="spellStart"/>
      <w:r w:rsidRPr="005920A4">
        <w:rPr>
          <w:rFonts w:hint="cs"/>
          <w:color w:val="000000" w:themeColor="text1"/>
          <w:sz w:val="26"/>
          <w:szCs w:val="26"/>
          <w:rtl/>
          <w:lang w:bidi="ar-EG"/>
        </w:rPr>
        <w:t>التى</w:t>
      </w:r>
      <w:proofErr w:type="spellEnd"/>
      <w:r w:rsidRPr="005920A4">
        <w:rPr>
          <w:rFonts w:hint="cs"/>
          <w:color w:val="000000" w:themeColor="text1"/>
          <w:sz w:val="26"/>
          <w:szCs w:val="26"/>
          <w:rtl/>
          <w:lang w:bidi="ar-EG"/>
        </w:rPr>
        <w:t xml:space="preserve"> يعتمد عليها مستخدمو القوائم المالية، خاصة المستثمرين في تقييم أداء المنشأة، ومع تزايد وتطور احتياجات مستخدمو المعلومات المحاسبية وتزامن ذلك مع تبنى مجلس معايير المحاسبة الدولية </w:t>
      </w:r>
      <w:r w:rsidRPr="005920A4">
        <w:rPr>
          <w:color w:val="000000" w:themeColor="text1"/>
          <w:sz w:val="26"/>
          <w:szCs w:val="26"/>
          <w:lang w:bidi="ar-EG"/>
        </w:rPr>
        <w:t>IASB</w:t>
      </w:r>
      <w:r w:rsidRPr="005920A4">
        <w:rPr>
          <w:rFonts w:hint="cs"/>
          <w:color w:val="000000" w:themeColor="text1"/>
          <w:sz w:val="26"/>
          <w:szCs w:val="26"/>
          <w:rtl/>
          <w:lang w:bidi="ar-EG"/>
        </w:rPr>
        <w:t xml:space="preserve"> لمفهوم القيمة العادلة، أصبح رقم صافي الدخل غير </w:t>
      </w:r>
      <w:proofErr w:type="spellStart"/>
      <w:r w:rsidRPr="005920A4">
        <w:rPr>
          <w:rFonts w:hint="cs"/>
          <w:color w:val="000000" w:themeColor="text1"/>
          <w:sz w:val="26"/>
          <w:szCs w:val="26"/>
          <w:rtl/>
          <w:lang w:bidi="ar-EG"/>
        </w:rPr>
        <w:t>كافى</w:t>
      </w:r>
      <w:proofErr w:type="spellEnd"/>
      <w:r w:rsidRPr="005920A4">
        <w:rPr>
          <w:rFonts w:hint="cs"/>
          <w:color w:val="000000" w:themeColor="text1"/>
          <w:sz w:val="26"/>
          <w:szCs w:val="26"/>
          <w:rtl/>
          <w:lang w:bidi="ar-EG"/>
        </w:rPr>
        <w:t xml:space="preserve"> لتلبية احتياجات مستخدمو المعلومات، وعدم وجود معلومات حقيقية عن أرباح المنشآت ترتب عليه حدوث تنبؤات خاطئة، الأمر الذى كان له تأثير كبير على ثقة المستثمرين في عملية الاستثمار في البورصة (منصور، 2018، ص 156).   </w:t>
      </w:r>
    </w:p>
    <w:p w14:paraId="3943CEB4" w14:textId="77777777" w:rsidR="007E7AE2" w:rsidRPr="005920A4" w:rsidRDefault="000D0D75" w:rsidP="00C24E42">
      <w:pPr>
        <w:ind w:firstLine="720"/>
        <w:jc w:val="lowKashida"/>
        <w:rPr>
          <w:color w:val="000000" w:themeColor="text1"/>
          <w:sz w:val="26"/>
          <w:szCs w:val="26"/>
          <w:rtl/>
          <w:lang w:bidi="ar-EG"/>
        </w:rPr>
      </w:pPr>
      <w:r w:rsidRPr="005920A4">
        <w:rPr>
          <w:rFonts w:hint="cs"/>
          <w:color w:val="000000" w:themeColor="text1"/>
          <w:sz w:val="26"/>
          <w:szCs w:val="26"/>
          <w:rtl/>
          <w:lang w:bidi="ar-EG"/>
        </w:rPr>
        <w:t xml:space="preserve">حيث لم يعد الأمر مقتصراً على مجرد الإفصاح عن صافي الدخل والمعلومات المالية </w:t>
      </w:r>
      <w:proofErr w:type="spellStart"/>
      <w:r w:rsidRPr="005920A4">
        <w:rPr>
          <w:rFonts w:hint="cs"/>
          <w:color w:val="000000" w:themeColor="text1"/>
          <w:sz w:val="26"/>
          <w:szCs w:val="26"/>
          <w:rtl/>
          <w:lang w:bidi="ar-EG"/>
        </w:rPr>
        <w:t>التى</w:t>
      </w:r>
      <w:proofErr w:type="spellEnd"/>
      <w:r w:rsidRPr="005920A4">
        <w:rPr>
          <w:rFonts w:hint="cs"/>
          <w:color w:val="000000" w:themeColor="text1"/>
          <w:sz w:val="26"/>
          <w:szCs w:val="26"/>
          <w:rtl/>
          <w:lang w:bidi="ar-EG"/>
        </w:rPr>
        <w:t xml:space="preserve"> تهم المستثمر </w:t>
      </w:r>
      <w:proofErr w:type="spellStart"/>
      <w:r w:rsidRPr="005920A4">
        <w:rPr>
          <w:rFonts w:hint="cs"/>
          <w:color w:val="000000" w:themeColor="text1"/>
          <w:sz w:val="26"/>
          <w:szCs w:val="26"/>
          <w:rtl/>
          <w:lang w:bidi="ar-EG"/>
        </w:rPr>
        <w:t>العادى</w:t>
      </w:r>
      <w:proofErr w:type="spellEnd"/>
      <w:r w:rsidRPr="005920A4">
        <w:rPr>
          <w:rFonts w:hint="cs"/>
          <w:color w:val="000000" w:themeColor="text1"/>
          <w:sz w:val="26"/>
          <w:szCs w:val="26"/>
          <w:rtl/>
          <w:lang w:bidi="ar-EG"/>
        </w:rPr>
        <w:t xml:space="preserve"> فقط، وإنما تعداه إلى ضرورة الإفصاح عن الدخل الشامل والمعلومات غير المالية </w:t>
      </w:r>
      <w:proofErr w:type="spellStart"/>
      <w:r w:rsidRPr="005920A4">
        <w:rPr>
          <w:rFonts w:hint="cs"/>
          <w:color w:val="000000" w:themeColor="text1"/>
          <w:sz w:val="26"/>
          <w:szCs w:val="26"/>
          <w:rtl/>
          <w:lang w:bidi="ar-EG"/>
        </w:rPr>
        <w:t>التى</w:t>
      </w:r>
      <w:proofErr w:type="spellEnd"/>
      <w:r w:rsidRPr="005920A4">
        <w:rPr>
          <w:rFonts w:hint="cs"/>
          <w:color w:val="000000" w:themeColor="text1"/>
          <w:sz w:val="26"/>
          <w:szCs w:val="26"/>
          <w:rtl/>
          <w:lang w:bidi="ar-EG"/>
        </w:rPr>
        <w:t xml:space="preserve"> تهم المستثمر </w:t>
      </w:r>
      <w:proofErr w:type="spellStart"/>
      <w:r w:rsidRPr="005920A4">
        <w:rPr>
          <w:rFonts w:hint="cs"/>
          <w:color w:val="000000" w:themeColor="text1"/>
          <w:sz w:val="26"/>
          <w:szCs w:val="26"/>
          <w:rtl/>
          <w:lang w:bidi="ar-EG"/>
        </w:rPr>
        <w:t>الواعى</w:t>
      </w:r>
      <w:proofErr w:type="spellEnd"/>
      <w:r w:rsidRPr="005920A4">
        <w:rPr>
          <w:rFonts w:hint="cs"/>
          <w:color w:val="000000" w:themeColor="text1"/>
          <w:sz w:val="26"/>
          <w:szCs w:val="26"/>
          <w:rtl/>
          <w:lang w:bidi="ar-EG"/>
        </w:rPr>
        <w:t xml:space="preserve"> بغرض المقارنة بين مجموعات الشركات المماثلة عند اتخاذ قرار بيع أو شراء الأوراق المالية من ناحية، والتي تهم المحلل المالي الذى يقوم بالتنبؤ بأرباح المنشأة المستقبلية، وتحديد الأسعار المناسبة للأوراق المالية من ناحية أخرى، وترتب على قصور الدخل المحاسبي ضرورة زيادة فعالية الإفصاح المحاسبي واللجوء إلى الدخل الشامل (يونس، 2017، ص 1085).</w:t>
      </w:r>
      <w:r w:rsidRPr="005920A4">
        <w:rPr>
          <w:rFonts w:hint="cs"/>
          <w:color w:val="000000" w:themeColor="text1"/>
          <w:sz w:val="26"/>
          <w:szCs w:val="26"/>
          <w:vertAlign w:val="superscript"/>
          <w:rtl/>
          <w:lang w:bidi="ar-EG"/>
        </w:rPr>
        <w:t xml:space="preserve"> </w:t>
      </w:r>
      <w:r w:rsidRPr="005920A4">
        <w:rPr>
          <w:rFonts w:hint="cs"/>
          <w:color w:val="000000" w:themeColor="text1"/>
          <w:sz w:val="26"/>
          <w:szCs w:val="26"/>
          <w:rtl/>
          <w:lang w:bidi="ar-EG"/>
        </w:rPr>
        <w:t xml:space="preserve">لأنه يتضمن جميع الإيرادات والمصروفات والمكاسب والخسائر المعترف بها وفقاً لمعايير المحاسبة خلال الفترة، لذلك يعتبر الدخل الشامل مقياساً أوسع للأداء مقارنة بصافي الدخل حيث يتضمن جميع التغيرات في حقوق الملكية الناتجة عن معاملات وأحداث بخلاف الملاك، ومن ثم يمكن أن يساعد المحتوى </w:t>
      </w:r>
      <w:proofErr w:type="spellStart"/>
      <w:r w:rsidRPr="005920A4">
        <w:rPr>
          <w:rFonts w:hint="cs"/>
          <w:color w:val="000000" w:themeColor="text1"/>
          <w:sz w:val="26"/>
          <w:szCs w:val="26"/>
          <w:rtl/>
          <w:lang w:bidi="ar-EG"/>
        </w:rPr>
        <w:t>المعلوماتى</w:t>
      </w:r>
      <w:proofErr w:type="spellEnd"/>
      <w:r w:rsidRPr="005920A4">
        <w:rPr>
          <w:rFonts w:hint="cs"/>
          <w:color w:val="000000" w:themeColor="text1"/>
          <w:sz w:val="26"/>
          <w:szCs w:val="26"/>
          <w:rtl/>
          <w:lang w:bidi="ar-EG"/>
        </w:rPr>
        <w:t xml:space="preserve"> للدخل الشامل مستخدمو القوائم المالية في تقييم المخاطر المتعلقة بالمنشأة، حيث أنه يتضمن المكاسب والخسائر المحتملة التي يمكن أن تحققها المنشأة، ومن ثم قد يكون أكثر ارتباطاً بتقلبات أسعار الأسهم مقارنة بصافي الدخل. وبالتالي فإن الهدف من مطالبة الشركات بالإفصاح عن الدخل الشامل هو إعطاء أهمية </w:t>
      </w:r>
      <w:r w:rsidRPr="005920A4">
        <w:rPr>
          <w:rFonts w:hint="cs"/>
          <w:color w:val="000000" w:themeColor="text1"/>
          <w:sz w:val="26"/>
          <w:szCs w:val="26"/>
          <w:rtl/>
          <w:lang w:bidi="ar-EG"/>
        </w:rPr>
        <w:lastRenderedPageBreak/>
        <w:t xml:space="preserve">أكبر للمعلومات المالية المتعلقة بأداء المنشآت </w:t>
      </w:r>
      <w:proofErr w:type="spellStart"/>
      <w:r w:rsidRPr="005920A4">
        <w:rPr>
          <w:rFonts w:hint="cs"/>
          <w:color w:val="000000" w:themeColor="text1"/>
          <w:sz w:val="26"/>
          <w:szCs w:val="26"/>
          <w:rtl/>
          <w:lang w:bidi="ar-EG"/>
        </w:rPr>
        <w:t>لمستخدمو</w:t>
      </w:r>
      <w:proofErr w:type="spellEnd"/>
      <w:r w:rsidRPr="005920A4">
        <w:rPr>
          <w:rFonts w:hint="cs"/>
          <w:color w:val="000000" w:themeColor="text1"/>
          <w:sz w:val="26"/>
          <w:szCs w:val="26"/>
          <w:rtl/>
          <w:lang w:bidi="ar-EG"/>
        </w:rPr>
        <w:t xml:space="preserve"> المعلومات المحاسبية، خاصة المستثمرين باعتبارهم المستخدم </w:t>
      </w:r>
      <w:proofErr w:type="spellStart"/>
      <w:r w:rsidRPr="005920A4">
        <w:rPr>
          <w:rFonts w:hint="cs"/>
          <w:color w:val="000000" w:themeColor="text1"/>
          <w:sz w:val="26"/>
          <w:szCs w:val="26"/>
          <w:rtl/>
          <w:lang w:bidi="ar-EG"/>
        </w:rPr>
        <w:t>الرئيسى</w:t>
      </w:r>
      <w:proofErr w:type="spellEnd"/>
      <w:r w:rsidRPr="005920A4">
        <w:rPr>
          <w:rFonts w:hint="cs"/>
          <w:color w:val="000000" w:themeColor="text1"/>
          <w:sz w:val="26"/>
          <w:szCs w:val="26"/>
          <w:rtl/>
          <w:lang w:bidi="ar-EG"/>
        </w:rPr>
        <w:t xml:space="preserve"> لتلك المعلومات (</w:t>
      </w:r>
      <w:proofErr w:type="spellStart"/>
      <w:r w:rsidRPr="005920A4">
        <w:rPr>
          <w:rFonts w:hint="cs"/>
          <w:color w:val="000000" w:themeColor="text1"/>
          <w:sz w:val="26"/>
          <w:szCs w:val="26"/>
          <w:rtl/>
          <w:lang w:bidi="ar-EG"/>
        </w:rPr>
        <w:t>الفداوى</w:t>
      </w:r>
      <w:proofErr w:type="spellEnd"/>
      <w:r w:rsidRPr="005920A4">
        <w:rPr>
          <w:rFonts w:hint="cs"/>
          <w:color w:val="000000" w:themeColor="text1"/>
          <w:sz w:val="26"/>
          <w:szCs w:val="26"/>
          <w:rtl/>
          <w:lang w:bidi="ar-EG"/>
        </w:rPr>
        <w:t xml:space="preserve">، 2023، ص 724).  </w:t>
      </w:r>
      <w:r w:rsidRPr="005920A4">
        <w:rPr>
          <w:rFonts w:hint="cs"/>
          <w:color w:val="000000" w:themeColor="text1"/>
          <w:sz w:val="26"/>
          <w:szCs w:val="26"/>
          <w:vertAlign w:val="superscript"/>
          <w:rtl/>
          <w:lang w:bidi="ar-EG"/>
        </w:rPr>
        <w:t xml:space="preserve"> </w:t>
      </w:r>
    </w:p>
    <w:p w14:paraId="6132844E" w14:textId="21ADD9D4" w:rsidR="00C65B31" w:rsidRPr="005920A4" w:rsidRDefault="000D0D75" w:rsidP="00DF50EF">
      <w:pPr>
        <w:ind w:firstLine="720"/>
        <w:jc w:val="lowKashida"/>
        <w:rPr>
          <w:color w:val="000000" w:themeColor="text1"/>
          <w:sz w:val="26"/>
          <w:szCs w:val="26"/>
          <w:rtl/>
          <w:lang w:bidi="ar-EG"/>
        </w:rPr>
      </w:pPr>
      <w:r w:rsidRPr="005920A4">
        <w:rPr>
          <w:rFonts w:hint="cs"/>
          <w:color w:val="000000" w:themeColor="text1"/>
          <w:sz w:val="26"/>
          <w:szCs w:val="26"/>
          <w:rtl/>
          <w:lang w:bidi="ar-EG"/>
        </w:rPr>
        <w:t xml:space="preserve"> </w:t>
      </w:r>
      <w:r w:rsidR="00C65B31" w:rsidRPr="005920A4">
        <w:rPr>
          <w:rFonts w:hint="cs"/>
          <w:color w:val="000000" w:themeColor="text1"/>
          <w:sz w:val="26"/>
          <w:szCs w:val="26"/>
          <w:rtl/>
          <w:lang w:bidi="ar-EG"/>
        </w:rPr>
        <w:t>لذلك</w:t>
      </w:r>
      <w:r w:rsidR="00C65B31" w:rsidRPr="005920A4">
        <w:rPr>
          <w:color w:val="000000" w:themeColor="text1"/>
          <w:sz w:val="26"/>
          <w:szCs w:val="26"/>
          <w:rtl/>
          <w:lang w:bidi="ar-EG"/>
        </w:rPr>
        <w:t xml:space="preserve"> </w:t>
      </w:r>
      <w:r w:rsidR="00C65B31" w:rsidRPr="005920A4">
        <w:rPr>
          <w:rFonts w:hint="cs"/>
          <w:color w:val="000000" w:themeColor="text1"/>
          <w:sz w:val="26"/>
          <w:szCs w:val="26"/>
          <w:rtl/>
          <w:lang w:bidi="ar-EG"/>
        </w:rPr>
        <w:t>تحاول</w:t>
      </w:r>
      <w:r w:rsidR="00C65B31" w:rsidRPr="005920A4">
        <w:rPr>
          <w:color w:val="000000" w:themeColor="text1"/>
          <w:sz w:val="26"/>
          <w:szCs w:val="26"/>
          <w:rtl/>
          <w:lang w:bidi="ar-EG"/>
        </w:rPr>
        <w:t xml:space="preserve"> </w:t>
      </w:r>
      <w:r w:rsidR="00C65B31" w:rsidRPr="005920A4">
        <w:rPr>
          <w:rFonts w:hint="cs"/>
          <w:color w:val="000000" w:themeColor="text1"/>
          <w:sz w:val="26"/>
          <w:szCs w:val="26"/>
          <w:rtl/>
          <w:lang w:bidi="ar-EG"/>
        </w:rPr>
        <w:t>الباحثة</w:t>
      </w:r>
      <w:r w:rsidR="00C65B31" w:rsidRPr="005920A4">
        <w:rPr>
          <w:color w:val="000000" w:themeColor="text1"/>
          <w:sz w:val="26"/>
          <w:szCs w:val="26"/>
          <w:rtl/>
          <w:lang w:bidi="ar-EG"/>
        </w:rPr>
        <w:t xml:space="preserve"> </w:t>
      </w:r>
      <w:r w:rsidR="00C65B31" w:rsidRPr="005920A4">
        <w:rPr>
          <w:rFonts w:hint="cs"/>
          <w:color w:val="000000" w:themeColor="text1"/>
          <w:sz w:val="26"/>
          <w:szCs w:val="26"/>
          <w:rtl/>
          <w:lang w:bidi="ar-EG"/>
        </w:rPr>
        <w:t>من</w:t>
      </w:r>
      <w:r w:rsidR="00C65B31" w:rsidRPr="005920A4">
        <w:rPr>
          <w:color w:val="000000" w:themeColor="text1"/>
          <w:sz w:val="26"/>
          <w:szCs w:val="26"/>
          <w:rtl/>
          <w:lang w:bidi="ar-EG"/>
        </w:rPr>
        <w:t xml:space="preserve"> </w:t>
      </w:r>
      <w:r w:rsidR="00C65B31" w:rsidRPr="005920A4">
        <w:rPr>
          <w:rFonts w:hint="cs"/>
          <w:color w:val="000000" w:themeColor="text1"/>
          <w:sz w:val="26"/>
          <w:szCs w:val="26"/>
          <w:rtl/>
          <w:lang w:bidi="ar-EG"/>
        </w:rPr>
        <w:t>خلال</w:t>
      </w:r>
      <w:r w:rsidR="00C65B31" w:rsidRPr="005920A4">
        <w:rPr>
          <w:color w:val="000000" w:themeColor="text1"/>
          <w:sz w:val="26"/>
          <w:szCs w:val="26"/>
          <w:rtl/>
          <w:lang w:bidi="ar-EG"/>
        </w:rPr>
        <w:t xml:space="preserve"> </w:t>
      </w:r>
      <w:r w:rsidR="00C65B31" w:rsidRPr="005920A4">
        <w:rPr>
          <w:rFonts w:hint="cs"/>
          <w:color w:val="000000" w:themeColor="text1"/>
          <w:sz w:val="26"/>
          <w:szCs w:val="26"/>
          <w:rtl/>
          <w:lang w:bidi="ar-EG"/>
        </w:rPr>
        <w:t>هذا</w:t>
      </w:r>
      <w:r w:rsidR="00C65B31" w:rsidRPr="005920A4">
        <w:rPr>
          <w:color w:val="000000" w:themeColor="text1"/>
          <w:sz w:val="26"/>
          <w:szCs w:val="26"/>
          <w:rtl/>
          <w:lang w:bidi="ar-EG"/>
        </w:rPr>
        <w:t xml:space="preserve"> </w:t>
      </w:r>
      <w:r w:rsidR="00C65B31" w:rsidRPr="005920A4">
        <w:rPr>
          <w:rFonts w:hint="cs"/>
          <w:color w:val="000000" w:themeColor="text1"/>
          <w:sz w:val="26"/>
          <w:szCs w:val="26"/>
          <w:rtl/>
          <w:lang w:bidi="ar-EG"/>
        </w:rPr>
        <w:t>البحث</w:t>
      </w:r>
      <w:r w:rsidR="00C65B31" w:rsidRPr="005920A4">
        <w:rPr>
          <w:color w:val="000000" w:themeColor="text1"/>
          <w:sz w:val="26"/>
          <w:szCs w:val="26"/>
          <w:rtl/>
          <w:lang w:bidi="ar-EG"/>
        </w:rPr>
        <w:t xml:space="preserve"> </w:t>
      </w:r>
      <w:r w:rsidR="00C65B31" w:rsidRPr="005920A4">
        <w:rPr>
          <w:rFonts w:hint="cs"/>
          <w:color w:val="000000" w:themeColor="text1"/>
          <w:sz w:val="26"/>
          <w:szCs w:val="26"/>
          <w:rtl/>
          <w:lang w:bidi="ar-EG"/>
        </w:rPr>
        <w:t>دراسة</w:t>
      </w:r>
      <w:r w:rsidR="00C65B31" w:rsidRPr="005920A4">
        <w:rPr>
          <w:color w:val="000000" w:themeColor="text1"/>
          <w:sz w:val="26"/>
          <w:szCs w:val="26"/>
          <w:rtl/>
          <w:lang w:bidi="ar-EG"/>
        </w:rPr>
        <w:t xml:space="preserve"> </w:t>
      </w:r>
      <w:r w:rsidR="00C65B31" w:rsidRPr="005920A4">
        <w:rPr>
          <w:rFonts w:hint="cs"/>
          <w:color w:val="000000" w:themeColor="text1"/>
          <w:sz w:val="26"/>
          <w:szCs w:val="26"/>
          <w:rtl/>
          <w:lang w:bidi="ar-EG"/>
        </w:rPr>
        <w:t>تأثير</w:t>
      </w:r>
      <w:r w:rsidR="00C65B31" w:rsidRPr="005920A4">
        <w:rPr>
          <w:color w:val="000000" w:themeColor="text1"/>
          <w:sz w:val="26"/>
          <w:szCs w:val="26"/>
          <w:rtl/>
          <w:lang w:bidi="ar-EG"/>
        </w:rPr>
        <w:t xml:space="preserve"> </w:t>
      </w:r>
      <w:r w:rsidR="007E7AE2" w:rsidRPr="005920A4">
        <w:rPr>
          <w:rFonts w:hint="cs"/>
          <w:color w:val="000000" w:themeColor="text1"/>
          <w:sz w:val="26"/>
          <w:szCs w:val="26"/>
          <w:rtl/>
          <w:lang w:bidi="ar-EG"/>
        </w:rPr>
        <w:t xml:space="preserve">الإفصاح </w:t>
      </w:r>
      <w:proofErr w:type="spellStart"/>
      <w:r w:rsidR="007E7AE2" w:rsidRPr="005920A4">
        <w:rPr>
          <w:rFonts w:hint="cs"/>
          <w:color w:val="000000" w:themeColor="text1"/>
          <w:sz w:val="26"/>
          <w:szCs w:val="26"/>
          <w:rtl/>
          <w:lang w:bidi="ar-EG"/>
        </w:rPr>
        <w:t>المحاسبى</w:t>
      </w:r>
      <w:proofErr w:type="spellEnd"/>
      <w:r w:rsidR="007E7AE2" w:rsidRPr="005920A4">
        <w:rPr>
          <w:rFonts w:hint="cs"/>
          <w:color w:val="000000" w:themeColor="text1"/>
          <w:sz w:val="26"/>
          <w:szCs w:val="26"/>
          <w:rtl/>
          <w:lang w:bidi="ar-EG"/>
        </w:rPr>
        <w:t xml:space="preserve"> لبنود الدخل الشامل على أسعار الأسهم</w:t>
      </w:r>
      <w:r w:rsidR="00C65B31" w:rsidRPr="005920A4">
        <w:rPr>
          <w:color w:val="000000" w:themeColor="text1"/>
          <w:sz w:val="26"/>
          <w:szCs w:val="26"/>
          <w:rtl/>
          <w:lang w:bidi="ar-EG"/>
        </w:rPr>
        <w:t xml:space="preserve"> </w:t>
      </w:r>
      <w:r w:rsidR="007E7AE2" w:rsidRPr="005920A4">
        <w:rPr>
          <w:rFonts w:hint="cs"/>
          <w:color w:val="000000" w:themeColor="text1"/>
          <w:sz w:val="26"/>
          <w:szCs w:val="26"/>
          <w:rtl/>
          <w:lang w:bidi="ar-EG"/>
        </w:rPr>
        <w:t>ومدى تأثير ذلك على كفاءة سوق الأوراق المالية المصرية.</w:t>
      </w:r>
    </w:p>
    <w:p w14:paraId="6A0A94A7" w14:textId="69566A61" w:rsidR="00C65B31" w:rsidRPr="00C85ED3" w:rsidRDefault="0019015E" w:rsidP="00C85ED3">
      <w:pPr>
        <w:spacing w:before="120"/>
        <w:jc w:val="lowKashida"/>
        <w:rPr>
          <w:b/>
          <w:bCs/>
          <w:color w:val="000000" w:themeColor="text1"/>
          <w:rtl/>
          <w:lang w:bidi="ar-EG"/>
        </w:rPr>
      </w:pPr>
      <w:r w:rsidRPr="00C85ED3">
        <w:rPr>
          <w:rFonts w:hint="cs"/>
          <w:b/>
          <w:bCs/>
          <w:color w:val="000000" w:themeColor="text1"/>
          <w:rtl/>
          <w:lang w:bidi="ar-EG"/>
        </w:rPr>
        <w:t>1/2</w:t>
      </w:r>
      <w:r w:rsidR="00C65B31" w:rsidRPr="00C85ED3">
        <w:rPr>
          <w:rFonts w:hint="cs"/>
          <w:b/>
          <w:bCs/>
          <w:color w:val="000000" w:themeColor="text1"/>
          <w:rtl/>
          <w:lang w:bidi="ar-EG"/>
        </w:rPr>
        <w:t xml:space="preserve"> أهداف البحث: </w:t>
      </w:r>
    </w:p>
    <w:p w14:paraId="331018FA" w14:textId="6C15727F" w:rsidR="00C65B31" w:rsidRPr="005920A4" w:rsidRDefault="007E7AE2" w:rsidP="00C24E42">
      <w:pPr>
        <w:ind w:left="302"/>
        <w:jc w:val="lowKashida"/>
        <w:rPr>
          <w:color w:val="000000" w:themeColor="text1"/>
          <w:sz w:val="26"/>
          <w:szCs w:val="26"/>
          <w:rtl/>
          <w:lang w:bidi="ar-EG"/>
        </w:rPr>
      </w:pPr>
      <w:r w:rsidRPr="005920A4">
        <w:rPr>
          <w:rFonts w:hint="cs"/>
          <w:color w:val="000000" w:themeColor="text1"/>
          <w:sz w:val="26"/>
          <w:szCs w:val="26"/>
          <w:rtl/>
          <w:lang w:bidi="ar-EG"/>
        </w:rPr>
        <w:t xml:space="preserve">  يتمثل الهدف </w:t>
      </w:r>
      <w:proofErr w:type="spellStart"/>
      <w:r w:rsidRPr="005920A4">
        <w:rPr>
          <w:rFonts w:hint="cs"/>
          <w:color w:val="000000" w:themeColor="text1"/>
          <w:sz w:val="26"/>
          <w:szCs w:val="26"/>
          <w:rtl/>
          <w:lang w:bidi="ar-EG"/>
        </w:rPr>
        <w:t>الرئيسى</w:t>
      </w:r>
      <w:proofErr w:type="spellEnd"/>
      <w:r w:rsidRPr="005920A4">
        <w:rPr>
          <w:rFonts w:hint="cs"/>
          <w:color w:val="000000" w:themeColor="text1"/>
          <w:sz w:val="26"/>
          <w:szCs w:val="26"/>
          <w:rtl/>
          <w:lang w:bidi="ar-EG"/>
        </w:rPr>
        <w:t xml:space="preserve"> للبحث في دراسة العلاقة بين المحتوى </w:t>
      </w:r>
      <w:proofErr w:type="spellStart"/>
      <w:r w:rsidRPr="005920A4">
        <w:rPr>
          <w:rFonts w:hint="cs"/>
          <w:color w:val="000000" w:themeColor="text1"/>
          <w:sz w:val="26"/>
          <w:szCs w:val="26"/>
          <w:rtl/>
          <w:lang w:bidi="ar-EG"/>
        </w:rPr>
        <w:t>المعلوماتى</w:t>
      </w:r>
      <w:proofErr w:type="spellEnd"/>
      <w:r w:rsidRPr="005920A4">
        <w:rPr>
          <w:rFonts w:hint="cs"/>
          <w:color w:val="000000" w:themeColor="text1"/>
          <w:sz w:val="26"/>
          <w:szCs w:val="26"/>
          <w:rtl/>
          <w:lang w:bidi="ar-EG"/>
        </w:rPr>
        <w:t xml:space="preserve"> لبنود الدخل الشامل وأسعار الأسهم.</w:t>
      </w:r>
    </w:p>
    <w:p w14:paraId="21C1090A" w14:textId="77777777" w:rsidR="007E7AE2" w:rsidRPr="005920A4" w:rsidRDefault="007E7AE2" w:rsidP="00C24E42">
      <w:pPr>
        <w:ind w:firstLine="720"/>
        <w:jc w:val="lowKashida"/>
        <w:rPr>
          <w:b/>
          <w:bCs/>
          <w:color w:val="000000" w:themeColor="text1"/>
          <w:sz w:val="26"/>
          <w:szCs w:val="26"/>
          <w:rtl/>
          <w:lang w:bidi="ar-EG"/>
        </w:rPr>
      </w:pPr>
      <w:r w:rsidRPr="005920A4">
        <w:rPr>
          <w:rFonts w:hint="cs"/>
          <w:b/>
          <w:bCs/>
          <w:color w:val="000000" w:themeColor="text1"/>
          <w:sz w:val="26"/>
          <w:szCs w:val="26"/>
          <w:rtl/>
          <w:lang w:bidi="ar-EG"/>
        </w:rPr>
        <w:t xml:space="preserve">وينقسم الهدف </w:t>
      </w:r>
      <w:proofErr w:type="spellStart"/>
      <w:r w:rsidRPr="005920A4">
        <w:rPr>
          <w:rFonts w:hint="cs"/>
          <w:b/>
          <w:bCs/>
          <w:color w:val="000000" w:themeColor="text1"/>
          <w:sz w:val="26"/>
          <w:szCs w:val="26"/>
          <w:rtl/>
          <w:lang w:bidi="ar-EG"/>
        </w:rPr>
        <w:t>الرئيسى</w:t>
      </w:r>
      <w:proofErr w:type="spellEnd"/>
      <w:r w:rsidRPr="005920A4">
        <w:rPr>
          <w:rFonts w:hint="cs"/>
          <w:b/>
          <w:bCs/>
          <w:color w:val="000000" w:themeColor="text1"/>
          <w:sz w:val="26"/>
          <w:szCs w:val="26"/>
          <w:rtl/>
          <w:lang w:bidi="ar-EG"/>
        </w:rPr>
        <w:t xml:space="preserve"> إلى مجموعة من الأهداف الفرعية </w:t>
      </w:r>
      <w:proofErr w:type="spellStart"/>
      <w:r w:rsidRPr="005920A4">
        <w:rPr>
          <w:rFonts w:hint="cs"/>
          <w:b/>
          <w:bCs/>
          <w:color w:val="000000" w:themeColor="text1"/>
          <w:sz w:val="26"/>
          <w:szCs w:val="26"/>
          <w:rtl/>
          <w:lang w:bidi="ar-EG"/>
        </w:rPr>
        <w:t>هى</w:t>
      </w:r>
      <w:proofErr w:type="spellEnd"/>
      <w:r w:rsidRPr="005920A4">
        <w:rPr>
          <w:rFonts w:hint="cs"/>
          <w:b/>
          <w:bCs/>
          <w:color w:val="000000" w:themeColor="text1"/>
          <w:sz w:val="26"/>
          <w:szCs w:val="26"/>
          <w:rtl/>
          <w:lang w:bidi="ar-EG"/>
        </w:rPr>
        <w:t xml:space="preserve">: </w:t>
      </w:r>
    </w:p>
    <w:p w14:paraId="05849ABB" w14:textId="77777777" w:rsidR="007E7AE2" w:rsidRPr="005920A4" w:rsidRDefault="007E7AE2" w:rsidP="002209B2">
      <w:pPr>
        <w:pStyle w:val="ListParagraph"/>
        <w:numPr>
          <w:ilvl w:val="1"/>
          <w:numId w:val="6"/>
        </w:numPr>
        <w:ind w:left="227" w:hanging="227"/>
        <w:contextualSpacing w:val="0"/>
        <w:jc w:val="lowKashida"/>
        <w:rPr>
          <w:color w:val="000000" w:themeColor="text1"/>
          <w:sz w:val="26"/>
          <w:szCs w:val="26"/>
          <w:lang w:bidi="ar-EG"/>
        </w:rPr>
      </w:pPr>
      <w:r w:rsidRPr="005920A4">
        <w:rPr>
          <w:rFonts w:hint="cs"/>
          <w:color w:val="000000" w:themeColor="text1"/>
          <w:sz w:val="26"/>
          <w:szCs w:val="26"/>
          <w:rtl/>
          <w:lang w:bidi="ar-EG"/>
        </w:rPr>
        <w:t xml:space="preserve">تحديد ما هو المقصود بالدخل الشامل، وما </w:t>
      </w:r>
      <w:proofErr w:type="spellStart"/>
      <w:r w:rsidRPr="005920A4">
        <w:rPr>
          <w:rFonts w:hint="cs"/>
          <w:color w:val="000000" w:themeColor="text1"/>
          <w:sz w:val="26"/>
          <w:szCs w:val="26"/>
          <w:rtl/>
          <w:lang w:bidi="ar-EG"/>
        </w:rPr>
        <w:t>هى</w:t>
      </w:r>
      <w:proofErr w:type="spellEnd"/>
      <w:r w:rsidRPr="005920A4">
        <w:rPr>
          <w:rFonts w:hint="cs"/>
          <w:color w:val="000000" w:themeColor="text1"/>
          <w:sz w:val="26"/>
          <w:szCs w:val="26"/>
          <w:rtl/>
          <w:lang w:bidi="ar-EG"/>
        </w:rPr>
        <w:t xml:space="preserve"> بنود الدخل الشامل الآخر.</w:t>
      </w:r>
    </w:p>
    <w:p w14:paraId="4B30A018" w14:textId="77777777" w:rsidR="007E7AE2" w:rsidRPr="005920A4" w:rsidRDefault="007E7AE2" w:rsidP="002209B2">
      <w:pPr>
        <w:pStyle w:val="ListParagraph"/>
        <w:numPr>
          <w:ilvl w:val="1"/>
          <w:numId w:val="6"/>
        </w:numPr>
        <w:ind w:left="227" w:hanging="227"/>
        <w:contextualSpacing w:val="0"/>
        <w:jc w:val="lowKashida"/>
        <w:rPr>
          <w:color w:val="000000" w:themeColor="text1"/>
          <w:sz w:val="26"/>
          <w:szCs w:val="26"/>
          <w:lang w:bidi="ar-EG"/>
        </w:rPr>
      </w:pPr>
      <w:r w:rsidRPr="005920A4">
        <w:rPr>
          <w:rFonts w:hint="cs"/>
          <w:color w:val="000000" w:themeColor="text1"/>
          <w:sz w:val="26"/>
          <w:szCs w:val="26"/>
          <w:rtl/>
          <w:lang w:bidi="ar-EG"/>
        </w:rPr>
        <w:t xml:space="preserve">تحديد ما هي مزايا وعيوب الاعتماد على صافي الدخل الشامل كمقياس للأداء.         </w:t>
      </w:r>
    </w:p>
    <w:p w14:paraId="237AA059" w14:textId="77777777" w:rsidR="007E7AE2" w:rsidRPr="005920A4" w:rsidRDefault="007E7AE2" w:rsidP="002209B2">
      <w:pPr>
        <w:pStyle w:val="ListParagraph"/>
        <w:numPr>
          <w:ilvl w:val="1"/>
          <w:numId w:val="6"/>
        </w:numPr>
        <w:ind w:left="227" w:hanging="227"/>
        <w:contextualSpacing w:val="0"/>
        <w:jc w:val="lowKashida"/>
        <w:rPr>
          <w:color w:val="000000" w:themeColor="text1"/>
          <w:sz w:val="26"/>
          <w:szCs w:val="26"/>
          <w:lang w:bidi="ar-EG"/>
        </w:rPr>
      </w:pPr>
      <w:r w:rsidRPr="005920A4">
        <w:rPr>
          <w:rFonts w:hint="cs"/>
          <w:color w:val="000000" w:themeColor="text1"/>
          <w:sz w:val="26"/>
          <w:szCs w:val="26"/>
          <w:rtl/>
          <w:lang w:bidi="ar-EG"/>
        </w:rPr>
        <w:t>اختبار مدى تأثير الإفصاح المحاسبي عن بنود الدخل الشامل الآخر على أسعار الأسهم.</w:t>
      </w:r>
    </w:p>
    <w:p w14:paraId="326631D4" w14:textId="77777777" w:rsidR="007E7AE2" w:rsidRPr="005920A4" w:rsidRDefault="007E7AE2" w:rsidP="002209B2">
      <w:pPr>
        <w:pStyle w:val="ListParagraph"/>
        <w:numPr>
          <w:ilvl w:val="1"/>
          <w:numId w:val="6"/>
        </w:numPr>
        <w:ind w:left="227" w:hanging="227"/>
        <w:contextualSpacing w:val="0"/>
        <w:jc w:val="lowKashida"/>
        <w:rPr>
          <w:color w:val="000000" w:themeColor="text1"/>
          <w:sz w:val="26"/>
          <w:szCs w:val="26"/>
          <w:lang w:bidi="ar-EG"/>
        </w:rPr>
      </w:pPr>
      <w:r w:rsidRPr="005920A4">
        <w:rPr>
          <w:rFonts w:hint="cs"/>
          <w:color w:val="000000" w:themeColor="text1"/>
          <w:sz w:val="26"/>
          <w:szCs w:val="26"/>
          <w:rtl/>
          <w:lang w:bidi="ar-EG"/>
        </w:rPr>
        <w:t>اختبار مدى تأثير الإفصاح المحاسبي عن صافي الدخل الشامل على أسعار الأسهم.</w:t>
      </w:r>
    </w:p>
    <w:p w14:paraId="0B9B0F08" w14:textId="195ED0F4" w:rsidR="00C65B31" w:rsidRPr="00BB33B4" w:rsidRDefault="0019015E" w:rsidP="00C85ED3">
      <w:pPr>
        <w:spacing w:before="120"/>
        <w:jc w:val="lowKashida"/>
        <w:rPr>
          <w:b/>
          <w:bCs/>
          <w:color w:val="000000" w:themeColor="text1"/>
          <w:rtl/>
          <w:lang w:bidi="ar-EG"/>
        </w:rPr>
      </w:pPr>
      <w:r>
        <w:rPr>
          <w:rFonts w:hint="cs"/>
          <w:b/>
          <w:bCs/>
          <w:color w:val="000000" w:themeColor="text1"/>
          <w:rtl/>
          <w:lang w:bidi="ar-EG"/>
        </w:rPr>
        <w:t>1/3</w:t>
      </w:r>
      <w:r w:rsidR="00C65B31" w:rsidRPr="00BB33B4">
        <w:rPr>
          <w:rFonts w:hint="cs"/>
          <w:b/>
          <w:bCs/>
          <w:color w:val="000000" w:themeColor="text1"/>
          <w:rtl/>
          <w:lang w:bidi="ar-EG"/>
        </w:rPr>
        <w:t xml:space="preserve"> أهمية البحث: </w:t>
      </w:r>
    </w:p>
    <w:p w14:paraId="7BDD56E3" w14:textId="77777777" w:rsidR="007E7AE2" w:rsidRPr="005920A4" w:rsidRDefault="007E7AE2" w:rsidP="00C24E42">
      <w:pPr>
        <w:ind w:firstLine="720"/>
        <w:jc w:val="lowKashida"/>
        <w:rPr>
          <w:b/>
          <w:bCs/>
          <w:color w:val="000000" w:themeColor="text1"/>
          <w:sz w:val="26"/>
          <w:szCs w:val="26"/>
          <w:rtl/>
          <w:lang w:bidi="ar-EG"/>
        </w:rPr>
      </w:pPr>
      <w:r w:rsidRPr="005920A4">
        <w:rPr>
          <w:rFonts w:hint="cs"/>
          <w:color w:val="000000" w:themeColor="text1"/>
          <w:sz w:val="26"/>
          <w:szCs w:val="26"/>
          <w:rtl/>
          <w:lang w:bidi="ar-EG"/>
        </w:rPr>
        <w:t xml:space="preserve"> </w:t>
      </w:r>
      <w:r w:rsidRPr="005920A4">
        <w:rPr>
          <w:rFonts w:hint="cs"/>
          <w:b/>
          <w:bCs/>
          <w:color w:val="000000" w:themeColor="text1"/>
          <w:sz w:val="26"/>
          <w:szCs w:val="26"/>
          <w:rtl/>
          <w:lang w:bidi="ar-EG"/>
        </w:rPr>
        <w:t>يستمد البحث أهميته على المستوى العلمي والعملي على النحو التالي:</w:t>
      </w:r>
    </w:p>
    <w:p w14:paraId="755B3627" w14:textId="4DF93E89" w:rsidR="007E7AE2" w:rsidRPr="00C85ED3" w:rsidRDefault="007E7AE2" w:rsidP="00C85ED3">
      <w:pPr>
        <w:spacing w:before="120"/>
        <w:jc w:val="lowKashida"/>
        <w:rPr>
          <w:b/>
          <w:bCs/>
          <w:color w:val="000000" w:themeColor="text1"/>
          <w:rtl/>
          <w:lang w:bidi="ar-EG"/>
        </w:rPr>
      </w:pPr>
      <w:r w:rsidRPr="00C85ED3">
        <w:rPr>
          <w:rFonts w:hint="cs"/>
          <w:b/>
          <w:bCs/>
          <w:color w:val="000000" w:themeColor="text1"/>
          <w:rtl/>
          <w:lang w:bidi="ar-EG"/>
        </w:rPr>
        <w:t>أ) الأهمية العلمية:</w:t>
      </w:r>
    </w:p>
    <w:p w14:paraId="47396164" w14:textId="6BBA7512" w:rsidR="007E7AE2" w:rsidRPr="005920A4" w:rsidRDefault="007E7AE2" w:rsidP="00357A76">
      <w:pPr>
        <w:pStyle w:val="ListParagraph"/>
        <w:numPr>
          <w:ilvl w:val="1"/>
          <w:numId w:val="6"/>
        </w:numPr>
        <w:ind w:left="227" w:hanging="227"/>
        <w:contextualSpacing w:val="0"/>
        <w:jc w:val="lowKashida"/>
        <w:rPr>
          <w:color w:val="000000" w:themeColor="text1"/>
          <w:sz w:val="26"/>
          <w:szCs w:val="26"/>
          <w:rtl/>
          <w:lang w:bidi="ar-EG"/>
        </w:rPr>
      </w:pPr>
      <w:r w:rsidRPr="005920A4">
        <w:rPr>
          <w:rFonts w:hint="cs"/>
          <w:color w:val="000000" w:themeColor="text1"/>
          <w:sz w:val="26"/>
          <w:szCs w:val="26"/>
          <w:rtl/>
          <w:lang w:bidi="ar-EG"/>
        </w:rPr>
        <w:t xml:space="preserve">نال موضوع الإفصاح المحاسبي عن الدخل الشامل اهتمام الكثير من الباحثين في </w:t>
      </w:r>
      <w:r w:rsidR="00357A76">
        <w:rPr>
          <w:rFonts w:hint="cs"/>
          <w:color w:val="000000" w:themeColor="text1"/>
          <w:sz w:val="26"/>
          <w:szCs w:val="26"/>
          <w:rtl/>
          <w:lang w:bidi="ar-EG"/>
        </w:rPr>
        <w:t>الفكر</w:t>
      </w:r>
      <w:r w:rsidRPr="005920A4">
        <w:rPr>
          <w:rFonts w:hint="cs"/>
          <w:color w:val="000000" w:themeColor="text1"/>
          <w:sz w:val="26"/>
          <w:szCs w:val="26"/>
          <w:rtl/>
          <w:lang w:bidi="ar-EG"/>
        </w:rPr>
        <w:t xml:space="preserve"> المحاسبي، إلا أن هناك ندرة في الدراسات التي تناولت دور بنود الدخل الشامل في التأثير على أسعار الأسهم خاصة في البيئة المصرية.   </w:t>
      </w:r>
    </w:p>
    <w:p w14:paraId="7F5A1077" w14:textId="781C3436" w:rsidR="007E7AE2" w:rsidRPr="005920A4" w:rsidRDefault="007E7AE2" w:rsidP="002209B2">
      <w:pPr>
        <w:pStyle w:val="ListParagraph"/>
        <w:numPr>
          <w:ilvl w:val="1"/>
          <w:numId w:val="6"/>
        </w:numPr>
        <w:ind w:left="227" w:hanging="227"/>
        <w:contextualSpacing w:val="0"/>
        <w:jc w:val="lowKashida"/>
        <w:rPr>
          <w:color w:val="000000" w:themeColor="text1"/>
          <w:sz w:val="26"/>
          <w:szCs w:val="26"/>
          <w:rtl/>
          <w:lang w:bidi="ar-EG"/>
        </w:rPr>
      </w:pPr>
      <w:r w:rsidRPr="005920A4">
        <w:rPr>
          <w:rFonts w:hint="cs"/>
          <w:color w:val="000000" w:themeColor="text1"/>
          <w:sz w:val="26"/>
          <w:szCs w:val="26"/>
          <w:rtl/>
          <w:lang w:bidi="ar-EG"/>
        </w:rPr>
        <w:t>تعد الدراسة الحالية امتداداً للدراسات السابقة التي تناولت الإفصاح المحاسبي عن الدخل الشامل</w:t>
      </w:r>
      <w:r w:rsidR="00357A76">
        <w:rPr>
          <w:rFonts w:hint="cs"/>
          <w:color w:val="000000" w:themeColor="text1"/>
          <w:sz w:val="26"/>
          <w:szCs w:val="26"/>
          <w:rtl/>
          <w:lang w:bidi="ar-EG"/>
        </w:rPr>
        <w:t xml:space="preserve"> وأثره على قرارات المستثمرين</w:t>
      </w:r>
      <w:r w:rsidRPr="005920A4">
        <w:rPr>
          <w:rFonts w:hint="cs"/>
          <w:color w:val="000000" w:themeColor="text1"/>
          <w:sz w:val="26"/>
          <w:szCs w:val="26"/>
          <w:rtl/>
          <w:lang w:bidi="ar-EG"/>
        </w:rPr>
        <w:t xml:space="preserve">.  </w:t>
      </w:r>
    </w:p>
    <w:p w14:paraId="3D36AEF3" w14:textId="6418DA08" w:rsidR="007E7AE2" w:rsidRPr="00C85ED3" w:rsidRDefault="007E7AE2" w:rsidP="00C85ED3">
      <w:pPr>
        <w:spacing w:before="120"/>
        <w:jc w:val="lowKashida"/>
        <w:rPr>
          <w:b/>
          <w:bCs/>
          <w:color w:val="000000" w:themeColor="text1"/>
          <w:rtl/>
          <w:lang w:bidi="ar-EG"/>
        </w:rPr>
      </w:pPr>
      <w:r w:rsidRPr="00C85ED3">
        <w:rPr>
          <w:rFonts w:hint="cs"/>
          <w:b/>
          <w:bCs/>
          <w:color w:val="000000" w:themeColor="text1"/>
          <w:rtl/>
          <w:lang w:bidi="ar-EG"/>
        </w:rPr>
        <w:t>ب) الأهمية العملية:</w:t>
      </w:r>
    </w:p>
    <w:p w14:paraId="75E274B8" w14:textId="77777777" w:rsidR="007E7AE2" w:rsidRPr="005920A4" w:rsidRDefault="007E7AE2" w:rsidP="002209B2">
      <w:pPr>
        <w:pStyle w:val="ListParagraph"/>
        <w:numPr>
          <w:ilvl w:val="1"/>
          <w:numId w:val="6"/>
        </w:numPr>
        <w:ind w:left="227" w:hanging="227"/>
        <w:contextualSpacing w:val="0"/>
        <w:jc w:val="lowKashida"/>
        <w:rPr>
          <w:color w:val="000000" w:themeColor="text1"/>
          <w:sz w:val="26"/>
          <w:szCs w:val="26"/>
          <w:rtl/>
          <w:lang w:bidi="ar-EG"/>
        </w:rPr>
      </w:pPr>
      <w:r w:rsidRPr="005920A4">
        <w:rPr>
          <w:rFonts w:hint="cs"/>
          <w:color w:val="000000" w:themeColor="text1"/>
          <w:sz w:val="26"/>
          <w:szCs w:val="26"/>
          <w:rtl/>
          <w:lang w:bidi="ar-EG"/>
        </w:rPr>
        <w:t>زيادة وعى المنشآت بأهمية الإفصاح عن قائمة الدخل الشامل في ظل المستجدات في المعايير المحاسبية، وما ينتج عنه من زيادة فهم مستخدمو القوائم المالية لأهمية الدخل الشامل ومن ثم ترشيد قراراتهم الاستثمارية.</w:t>
      </w:r>
    </w:p>
    <w:p w14:paraId="0BA4ABE3" w14:textId="77777777" w:rsidR="007E7AE2" w:rsidRPr="005920A4" w:rsidRDefault="007E7AE2" w:rsidP="002209B2">
      <w:pPr>
        <w:pStyle w:val="ListParagraph"/>
        <w:numPr>
          <w:ilvl w:val="1"/>
          <w:numId w:val="6"/>
        </w:numPr>
        <w:ind w:left="227" w:hanging="227"/>
        <w:contextualSpacing w:val="0"/>
        <w:jc w:val="lowKashida"/>
        <w:rPr>
          <w:color w:val="000000" w:themeColor="text1"/>
          <w:sz w:val="26"/>
          <w:szCs w:val="26"/>
          <w:rtl/>
          <w:lang w:bidi="ar-EG"/>
        </w:rPr>
      </w:pPr>
      <w:r w:rsidRPr="005920A4">
        <w:rPr>
          <w:rFonts w:hint="cs"/>
          <w:color w:val="000000" w:themeColor="text1"/>
          <w:sz w:val="26"/>
          <w:szCs w:val="26"/>
          <w:rtl/>
          <w:lang w:bidi="ar-EG"/>
        </w:rPr>
        <w:t xml:space="preserve">يعد المحتوى </w:t>
      </w:r>
      <w:proofErr w:type="spellStart"/>
      <w:r w:rsidRPr="005920A4">
        <w:rPr>
          <w:rFonts w:hint="cs"/>
          <w:color w:val="000000" w:themeColor="text1"/>
          <w:sz w:val="26"/>
          <w:szCs w:val="26"/>
          <w:rtl/>
          <w:lang w:bidi="ar-EG"/>
        </w:rPr>
        <w:t>المعلوماتى</w:t>
      </w:r>
      <w:proofErr w:type="spellEnd"/>
      <w:r w:rsidRPr="005920A4">
        <w:rPr>
          <w:rFonts w:hint="cs"/>
          <w:color w:val="000000" w:themeColor="text1"/>
          <w:sz w:val="26"/>
          <w:szCs w:val="26"/>
          <w:rtl/>
          <w:lang w:bidi="ar-EG"/>
        </w:rPr>
        <w:t xml:space="preserve"> لبنود الدخل الشامل مصدر مهم للمحللين الماليين بصفتهم وسطاء معلومات حيث يقوموا بعمل التحليلات المختلفة المطلوبة لإعداد التنبؤات أو تقديم التوصيات ببيع أو شراء الأسهم هذا بالإضافة إلى متابعة التغيرات في هيكل الدخل ونسب العناصر المكونة للدخل ونسب عناصر الدخل الشامل الآخر إلى </w:t>
      </w:r>
      <w:proofErr w:type="spellStart"/>
      <w:r w:rsidRPr="005920A4">
        <w:rPr>
          <w:rFonts w:hint="cs"/>
          <w:color w:val="000000" w:themeColor="text1"/>
          <w:sz w:val="26"/>
          <w:szCs w:val="26"/>
          <w:rtl/>
          <w:lang w:bidi="ar-EG"/>
        </w:rPr>
        <w:t>إجمالى</w:t>
      </w:r>
      <w:proofErr w:type="spellEnd"/>
      <w:r w:rsidRPr="005920A4">
        <w:rPr>
          <w:rFonts w:hint="cs"/>
          <w:color w:val="000000" w:themeColor="text1"/>
          <w:sz w:val="26"/>
          <w:szCs w:val="26"/>
          <w:rtl/>
          <w:lang w:bidi="ar-EG"/>
        </w:rPr>
        <w:t xml:space="preserve"> الدخل الشامل حيث تعد هذه النسب جوهر إعداد التنبؤات المالية.</w:t>
      </w:r>
    </w:p>
    <w:p w14:paraId="4762CC73" w14:textId="77777777" w:rsidR="007E7AE2" w:rsidRPr="005920A4" w:rsidRDefault="007E7AE2" w:rsidP="002209B2">
      <w:pPr>
        <w:pStyle w:val="ListParagraph"/>
        <w:numPr>
          <w:ilvl w:val="1"/>
          <w:numId w:val="6"/>
        </w:numPr>
        <w:ind w:left="227" w:hanging="227"/>
        <w:contextualSpacing w:val="0"/>
        <w:jc w:val="lowKashida"/>
        <w:rPr>
          <w:color w:val="000000" w:themeColor="text1"/>
          <w:sz w:val="26"/>
          <w:szCs w:val="26"/>
          <w:lang w:bidi="ar-EG"/>
        </w:rPr>
      </w:pPr>
      <w:r w:rsidRPr="005920A4">
        <w:rPr>
          <w:rFonts w:hint="cs"/>
          <w:color w:val="000000" w:themeColor="text1"/>
          <w:sz w:val="26"/>
          <w:szCs w:val="26"/>
          <w:rtl/>
          <w:lang w:bidi="ar-EG"/>
        </w:rPr>
        <w:lastRenderedPageBreak/>
        <w:t>زيادة وعى المستثمرين الحاليين والمرتقبين بأهمية الإفصاح عن الدخل الشامل</w:t>
      </w:r>
      <w:r w:rsidRPr="005920A4">
        <w:rPr>
          <w:color w:val="000000" w:themeColor="text1"/>
          <w:sz w:val="26"/>
          <w:szCs w:val="26"/>
          <w:lang w:bidi="ar-EG"/>
        </w:rPr>
        <w:t xml:space="preserve"> </w:t>
      </w:r>
      <w:r w:rsidRPr="005920A4">
        <w:rPr>
          <w:rFonts w:hint="cs"/>
          <w:color w:val="000000" w:themeColor="text1"/>
          <w:sz w:val="26"/>
          <w:szCs w:val="26"/>
          <w:rtl/>
          <w:lang w:bidi="ar-EG"/>
        </w:rPr>
        <w:t xml:space="preserve">ليمكنهم من اتخاذ القرارات الاستثمارية المختلفة من الاحتفاظ بالنسب الحالية من استثماراتهم في أسهم المنشأة أو زياداتها أو </w:t>
      </w:r>
      <w:proofErr w:type="spellStart"/>
      <w:r w:rsidRPr="005920A4">
        <w:rPr>
          <w:rFonts w:hint="cs"/>
          <w:color w:val="000000" w:themeColor="text1"/>
          <w:sz w:val="26"/>
          <w:szCs w:val="26"/>
          <w:rtl/>
          <w:lang w:bidi="ar-EG"/>
        </w:rPr>
        <w:t>التخلى</w:t>
      </w:r>
      <w:proofErr w:type="spellEnd"/>
      <w:r w:rsidRPr="005920A4">
        <w:rPr>
          <w:rFonts w:hint="cs"/>
          <w:color w:val="000000" w:themeColor="text1"/>
          <w:sz w:val="26"/>
          <w:szCs w:val="26"/>
          <w:rtl/>
          <w:lang w:bidi="ar-EG"/>
        </w:rPr>
        <w:t xml:space="preserve"> عنها والتحول إلى استثمارات أخرى.</w:t>
      </w:r>
    </w:p>
    <w:p w14:paraId="4EB0FDF4" w14:textId="3CB14DB3" w:rsidR="00C65B31" w:rsidRPr="00C85ED3" w:rsidRDefault="00422E40" w:rsidP="00C85ED3">
      <w:pPr>
        <w:spacing w:before="120"/>
        <w:jc w:val="lowKashida"/>
        <w:rPr>
          <w:b/>
          <w:bCs/>
          <w:color w:val="000000" w:themeColor="text1"/>
          <w:rtl/>
          <w:lang w:bidi="ar-EG"/>
        </w:rPr>
      </w:pPr>
      <w:r w:rsidRPr="00C85ED3">
        <w:rPr>
          <w:rFonts w:hint="cs"/>
          <w:b/>
          <w:bCs/>
          <w:color w:val="000000" w:themeColor="text1"/>
          <w:rtl/>
          <w:lang w:bidi="ar-EG"/>
        </w:rPr>
        <w:t>1/4</w:t>
      </w:r>
      <w:r w:rsidR="00C65B31" w:rsidRPr="00C85ED3">
        <w:rPr>
          <w:rFonts w:hint="cs"/>
          <w:b/>
          <w:bCs/>
          <w:color w:val="000000" w:themeColor="text1"/>
          <w:rtl/>
          <w:lang w:bidi="ar-EG"/>
        </w:rPr>
        <w:t xml:space="preserve"> فروض البحث: </w:t>
      </w:r>
    </w:p>
    <w:p w14:paraId="7FF0CD21" w14:textId="77777777" w:rsidR="007E7AE2" w:rsidRPr="005920A4" w:rsidRDefault="007E7AE2" w:rsidP="00C24E42">
      <w:pPr>
        <w:ind w:firstLine="720"/>
        <w:jc w:val="lowKashida"/>
        <w:rPr>
          <w:b/>
          <w:bCs/>
          <w:color w:val="000000" w:themeColor="text1"/>
          <w:sz w:val="26"/>
          <w:szCs w:val="26"/>
          <w:rtl/>
          <w:lang w:bidi="ar-EG"/>
        </w:rPr>
      </w:pPr>
      <w:r w:rsidRPr="005920A4">
        <w:rPr>
          <w:rFonts w:hint="cs"/>
          <w:b/>
          <w:bCs/>
          <w:color w:val="000000" w:themeColor="text1"/>
          <w:sz w:val="26"/>
          <w:szCs w:val="26"/>
          <w:rtl/>
          <w:lang w:bidi="ar-EG"/>
        </w:rPr>
        <w:t xml:space="preserve">  في ضوء مشكلة البحث واستنادًا إلى الأهداف التي تسعى الباحثة لتحقيقها، يمكن صياغة فروض البحث على النحو التالي:</w:t>
      </w:r>
    </w:p>
    <w:p w14:paraId="53FA6C77" w14:textId="77777777" w:rsidR="007E7AE2" w:rsidRPr="005920A4" w:rsidRDefault="007E7AE2" w:rsidP="00C85ED3">
      <w:pPr>
        <w:spacing w:line="221" w:lineRule="auto"/>
        <w:jc w:val="lowKashida"/>
        <w:rPr>
          <w:b/>
          <w:bCs/>
          <w:color w:val="000000" w:themeColor="text1"/>
          <w:sz w:val="26"/>
          <w:szCs w:val="26"/>
          <w:rtl/>
          <w:lang w:bidi="ar-EG"/>
        </w:rPr>
      </w:pPr>
      <w:r w:rsidRPr="005920A4">
        <w:rPr>
          <w:rFonts w:hint="cs"/>
          <w:b/>
          <w:bCs/>
          <w:color w:val="000000" w:themeColor="text1"/>
          <w:sz w:val="26"/>
          <w:szCs w:val="26"/>
          <w:rtl/>
          <w:lang w:bidi="ar-EG"/>
        </w:rPr>
        <w:t>الفرضين الرئيسين التاليين:</w:t>
      </w:r>
    </w:p>
    <w:p w14:paraId="491FE646" w14:textId="77777777" w:rsidR="007E7AE2" w:rsidRPr="005920A4" w:rsidRDefault="007E7AE2" w:rsidP="00C85ED3">
      <w:pPr>
        <w:pStyle w:val="ListParagraph"/>
        <w:numPr>
          <w:ilvl w:val="0"/>
          <w:numId w:val="7"/>
        </w:numPr>
        <w:spacing w:line="221" w:lineRule="auto"/>
        <w:ind w:left="360"/>
        <w:jc w:val="lowKashida"/>
        <w:rPr>
          <w:color w:val="000000" w:themeColor="text1"/>
          <w:sz w:val="26"/>
          <w:szCs w:val="26"/>
          <w:rtl/>
          <w:lang w:bidi="ar-EG"/>
        </w:rPr>
      </w:pPr>
      <w:r w:rsidRPr="005920A4">
        <w:rPr>
          <w:rStyle w:val="Heading3Char"/>
          <w:rFonts w:ascii="Times New Roman" w:eastAsiaTheme="minorHAnsi" w:hAnsi="Times New Roman" w:cs="Simplified Arabic" w:hint="cs"/>
          <w:color w:val="000000" w:themeColor="text1"/>
          <w:sz w:val="26"/>
          <w:rtl/>
        </w:rPr>
        <w:t xml:space="preserve">الفرض </w:t>
      </w:r>
      <w:proofErr w:type="spellStart"/>
      <w:r w:rsidRPr="005920A4">
        <w:rPr>
          <w:rStyle w:val="Heading3Char"/>
          <w:rFonts w:ascii="Times New Roman" w:eastAsiaTheme="minorHAnsi" w:hAnsi="Times New Roman" w:cs="Simplified Arabic" w:hint="cs"/>
          <w:color w:val="000000" w:themeColor="text1"/>
          <w:sz w:val="26"/>
          <w:rtl/>
        </w:rPr>
        <w:t>الرئيسى</w:t>
      </w:r>
      <w:proofErr w:type="spellEnd"/>
      <w:r w:rsidRPr="005920A4">
        <w:rPr>
          <w:rStyle w:val="Heading3Char"/>
          <w:rFonts w:ascii="Times New Roman" w:eastAsiaTheme="minorHAnsi" w:hAnsi="Times New Roman" w:cs="Simplified Arabic" w:hint="cs"/>
          <w:color w:val="000000" w:themeColor="text1"/>
          <w:sz w:val="26"/>
          <w:rtl/>
        </w:rPr>
        <w:t xml:space="preserve"> الأول:</w:t>
      </w:r>
      <w:r w:rsidRPr="005920A4">
        <w:rPr>
          <w:rFonts w:hint="cs"/>
          <w:color w:val="000000" w:themeColor="text1"/>
          <w:sz w:val="26"/>
          <w:szCs w:val="26"/>
          <w:rtl/>
          <w:lang w:bidi="ar-EG"/>
        </w:rPr>
        <w:t xml:space="preserve"> توجد علاقة معنوية ذات دلالة إحصائية بين الإفصاح المحاسبي عن الدخل الشامل وكفاءة سوق الأوراق المالية.    </w:t>
      </w:r>
    </w:p>
    <w:p w14:paraId="67D1EB7C" w14:textId="77777777" w:rsidR="007E7AE2" w:rsidRPr="00357A76" w:rsidRDefault="007E7AE2" w:rsidP="00C85ED3">
      <w:pPr>
        <w:pStyle w:val="ListParagraph"/>
        <w:numPr>
          <w:ilvl w:val="0"/>
          <w:numId w:val="7"/>
        </w:numPr>
        <w:spacing w:line="221" w:lineRule="auto"/>
        <w:ind w:left="360"/>
        <w:jc w:val="lowKashida"/>
        <w:rPr>
          <w:rStyle w:val="Heading3Char"/>
          <w:rFonts w:ascii="Times New Roman" w:eastAsiaTheme="minorHAnsi" w:hAnsi="Times New Roman" w:cs="Simplified Arabic"/>
          <w:b/>
          <w:bCs w:val="0"/>
          <w:color w:val="000000" w:themeColor="text1"/>
          <w:sz w:val="26"/>
          <w:rtl/>
        </w:rPr>
      </w:pPr>
      <w:r w:rsidRPr="005920A4">
        <w:rPr>
          <w:rStyle w:val="Heading3Char"/>
          <w:rFonts w:ascii="Times New Roman" w:eastAsiaTheme="minorHAnsi" w:hAnsi="Times New Roman" w:cs="Simplified Arabic" w:hint="cs"/>
          <w:color w:val="000000" w:themeColor="text1"/>
          <w:sz w:val="26"/>
          <w:rtl/>
        </w:rPr>
        <w:t xml:space="preserve">الفرض </w:t>
      </w:r>
      <w:proofErr w:type="spellStart"/>
      <w:r w:rsidRPr="005920A4">
        <w:rPr>
          <w:rStyle w:val="Heading3Char"/>
          <w:rFonts w:ascii="Times New Roman" w:eastAsiaTheme="minorHAnsi" w:hAnsi="Times New Roman" w:cs="Simplified Arabic" w:hint="cs"/>
          <w:color w:val="000000" w:themeColor="text1"/>
          <w:sz w:val="26"/>
          <w:rtl/>
        </w:rPr>
        <w:t>الرئيسى</w:t>
      </w:r>
      <w:proofErr w:type="spellEnd"/>
      <w:r w:rsidRPr="005920A4">
        <w:rPr>
          <w:rStyle w:val="Heading3Char"/>
          <w:rFonts w:ascii="Times New Roman" w:eastAsiaTheme="minorHAnsi" w:hAnsi="Times New Roman" w:cs="Simplified Arabic" w:hint="cs"/>
          <w:color w:val="000000" w:themeColor="text1"/>
          <w:sz w:val="26"/>
          <w:rtl/>
        </w:rPr>
        <w:t xml:space="preserve"> </w:t>
      </w:r>
      <w:proofErr w:type="spellStart"/>
      <w:r w:rsidRPr="005920A4">
        <w:rPr>
          <w:rStyle w:val="Heading3Char"/>
          <w:rFonts w:ascii="Times New Roman" w:eastAsiaTheme="minorHAnsi" w:hAnsi="Times New Roman" w:cs="Simplified Arabic" w:hint="cs"/>
          <w:color w:val="000000" w:themeColor="text1"/>
          <w:sz w:val="26"/>
          <w:rtl/>
        </w:rPr>
        <w:t>الثانى</w:t>
      </w:r>
      <w:proofErr w:type="spellEnd"/>
      <w:r w:rsidRPr="005920A4">
        <w:rPr>
          <w:rStyle w:val="Heading3Char"/>
          <w:rFonts w:ascii="Times New Roman" w:eastAsiaTheme="minorHAnsi" w:hAnsi="Times New Roman" w:cs="Simplified Arabic" w:hint="cs"/>
          <w:color w:val="000000" w:themeColor="text1"/>
          <w:sz w:val="26"/>
          <w:rtl/>
        </w:rPr>
        <w:t xml:space="preserve">: </w:t>
      </w:r>
      <w:r w:rsidRPr="00357A76">
        <w:rPr>
          <w:rStyle w:val="Heading3Char"/>
          <w:rFonts w:ascii="Times New Roman" w:eastAsiaTheme="minorHAnsi" w:hAnsi="Times New Roman" w:cs="Simplified Arabic" w:hint="cs"/>
          <w:b/>
          <w:bCs w:val="0"/>
          <w:color w:val="000000" w:themeColor="text1"/>
          <w:sz w:val="26"/>
          <w:rtl/>
        </w:rPr>
        <w:t>توجد علاقة معنوية ذات دلالة إحصائية بين الإفصاح المحاسبي عن بنود الدخل الشامل وسلوك أسعار الأسهم.</w:t>
      </w:r>
    </w:p>
    <w:p w14:paraId="7B43EF00" w14:textId="77777777" w:rsidR="007E7AE2" w:rsidRPr="005920A4" w:rsidRDefault="007E7AE2" w:rsidP="00C85ED3">
      <w:pPr>
        <w:spacing w:line="221" w:lineRule="auto"/>
        <w:ind w:firstLine="720"/>
        <w:jc w:val="lowKashida"/>
        <w:rPr>
          <w:color w:val="000000" w:themeColor="text1"/>
          <w:sz w:val="26"/>
          <w:szCs w:val="26"/>
          <w:rtl/>
          <w:lang w:bidi="ar-EG"/>
        </w:rPr>
      </w:pPr>
      <w:r w:rsidRPr="005920A4">
        <w:rPr>
          <w:rStyle w:val="Heading3Char"/>
          <w:rFonts w:ascii="Times New Roman" w:eastAsiaTheme="minorHAnsi" w:hAnsi="Times New Roman" w:cs="Simplified Arabic" w:hint="cs"/>
          <w:color w:val="000000" w:themeColor="text1"/>
          <w:sz w:val="26"/>
          <w:rtl/>
        </w:rPr>
        <w:t xml:space="preserve">ويتم تقسيم هذا الفرض </w:t>
      </w:r>
      <w:proofErr w:type="spellStart"/>
      <w:r w:rsidRPr="005920A4">
        <w:rPr>
          <w:rStyle w:val="Heading3Char"/>
          <w:rFonts w:ascii="Times New Roman" w:eastAsiaTheme="minorHAnsi" w:hAnsi="Times New Roman" w:cs="Simplified Arabic" w:hint="cs"/>
          <w:color w:val="000000" w:themeColor="text1"/>
          <w:sz w:val="26"/>
          <w:rtl/>
        </w:rPr>
        <w:t>الرئيسى</w:t>
      </w:r>
      <w:proofErr w:type="spellEnd"/>
      <w:r w:rsidRPr="005920A4">
        <w:rPr>
          <w:rStyle w:val="Heading3Char"/>
          <w:rFonts w:ascii="Times New Roman" w:eastAsiaTheme="minorHAnsi" w:hAnsi="Times New Roman" w:cs="Simplified Arabic" w:hint="cs"/>
          <w:color w:val="000000" w:themeColor="text1"/>
          <w:sz w:val="26"/>
          <w:rtl/>
        </w:rPr>
        <w:t xml:space="preserve"> إلى الفروض الفرعية التالية:</w:t>
      </w:r>
      <w:r w:rsidRPr="005920A4">
        <w:rPr>
          <w:rFonts w:hint="cs"/>
          <w:color w:val="000000" w:themeColor="text1"/>
          <w:sz w:val="26"/>
          <w:szCs w:val="26"/>
          <w:rtl/>
          <w:lang w:bidi="ar-EG"/>
        </w:rPr>
        <w:t xml:space="preserve"> </w:t>
      </w:r>
    </w:p>
    <w:p w14:paraId="7834D5F9" w14:textId="77777777" w:rsidR="007E7AE2" w:rsidRPr="005920A4" w:rsidRDefault="007E7AE2" w:rsidP="00C85ED3">
      <w:pPr>
        <w:pStyle w:val="ListParagraph"/>
        <w:numPr>
          <w:ilvl w:val="0"/>
          <w:numId w:val="8"/>
        </w:numPr>
        <w:spacing w:line="221" w:lineRule="auto"/>
        <w:ind w:left="227" w:hanging="227"/>
        <w:contextualSpacing w:val="0"/>
        <w:jc w:val="lowKashida"/>
        <w:rPr>
          <w:color w:val="000000" w:themeColor="text1"/>
          <w:sz w:val="26"/>
          <w:szCs w:val="26"/>
          <w:rtl/>
          <w:lang w:bidi="ar-EG"/>
        </w:rPr>
      </w:pPr>
      <w:r w:rsidRPr="005920A4">
        <w:rPr>
          <w:rFonts w:hint="cs"/>
          <w:b/>
          <w:bCs/>
          <w:color w:val="000000" w:themeColor="text1"/>
          <w:sz w:val="26"/>
          <w:szCs w:val="26"/>
          <w:rtl/>
          <w:lang w:bidi="ar-EG"/>
        </w:rPr>
        <w:t xml:space="preserve">الفرض </w:t>
      </w:r>
      <w:proofErr w:type="spellStart"/>
      <w:r w:rsidRPr="005920A4">
        <w:rPr>
          <w:rFonts w:hint="cs"/>
          <w:b/>
          <w:bCs/>
          <w:color w:val="000000" w:themeColor="text1"/>
          <w:sz w:val="26"/>
          <w:szCs w:val="26"/>
          <w:rtl/>
          <w:lang w:bidi="ar-EG"/>
        </w:rPr>
        <w:t>الفرعى</w:t>
      </w:r>
      <w:proofErr w:type="spellEnd"/>
      <w:r w:rsidRPr="005920A4">
        <w:rPr>
          <w:rFonts w:hint="cs"/>
          <w:b/>
          <w:bCs/>
          <w:color w:val="000000" w:themeColor="text1"/>
          <w:sz w:val="26"/>
          <w:szCs w:val="26"/>
          <w:rtl/>
          <w:lang w:bidi="ar-EG"/>
        </w:rPr>
        <w:t xml:space="preserve"> الأول</w:t>
      </w:r>
      <w:r w:rsidRPr="005920A4">
        <w:rPr>
          <w:rFonts w:hint="cs"/>
          <w:color w:val="000000" w:themeColor="text1"/>
          <w:sz w:val="26"/>
          <w:szCs w:val="26"/>
          <w:rtl/>
          <w:lang w:bidi="ar-EG"/>
        </w:rPr>
        <w:t>: توجد علاقة معنوية ذات دلالة إحصائية بين الإفصاح المحاسبي عن المكاسب والخسائر الناتجة عن إعادة تقييم الأصول المالية المتاحة للبيع وسلوك أسعار الأسهم.</w:t>
      </w:r>
    </w:p>
    <w:p w14:paraId="1E019EC8" w14:textId="77777777" w:rsidR="007E7AE2" w:rsidRPr="00C85ED3" w:rsidRDefault="007E7AE2" w:rsidP="00C85ED3">
      <w:pPr>
        <w:pStyle w:val="ListParagraph"/>
        <w:numPr>
          <w:ilvl w:val="0"/>
          <w:numId w:val="8"/>
        </w:numPr>
        <w:spacing w:line="221" w:lineRule="auto"/>
        <w:ind w:left="227" w:hanging="227"/>
        <w:contextualSpacing w:val="0"/>
        <w:jc w:val="lowKashida"/>
        <w:rPr>
          <w:color w:val="000000" w:themeColor="text1"/>
          <w:spacing w:val="-4"/>
          <w:sz w:val="26"/>
          <w:szCs w:val="26"/>
          <w:rtl/>
          <w:lang w:bidi="ar-EG"/>
        </w:rPr>
      </w:pPr>
      <w:r w:rsidRPr="00C85ED3">
        <w:rPr>
          <w:rStyle w:val="Heading3Char"/>
          <w:rFonts w:ascii="Times New Roman" w:eastAsiaTheme="minorHAnsi" w:hAnsi="Times New Roman" w:cs="Simplified Arabic" w:hint="cs"/>
          <w:color w:val="000000" w:themeColor="text1"/>
          <w:spacing w:val="-4"/>
          <w:sz w:val="26"/>
          <w:rtl/>
        </w:rPr>
        <w:t xml:space="preserve">الفرض </w:t>
      </w:r>
      <w:proofErr w:type="spellStart"/>
      <w:r w:rsidRPr="00C85ED3">
        <w:rPr>
          <w:rStyle w:val="Heading3Char"/>
          <w:rFonts w:ascii="Times New Roman" w:eastAsiaTheme="minorHAnsi" w:hAnsi="Times New Roman" w:cs="Simplified Arabic" w:hint="cs"/>
          <w:color w:val="000000" w:themeColor="text1"/>
          <w:spacing w:val="-4"/>
          <w:sz w:val="26"/>
          <w:rtl/>
        </w:rPr>
        <w:t>الفرعى</w:t>
      </w:r>
      <w:proofErr w:type="spellEnd"/>
      <w:r w:rsidRPr="00C85ED3">
        <w:rPr>
          <w:rStyle w:val="Heading3Char"/>
          <w:rFonts w:ascii="Times New Roman" w:eastAsiaTheme="minorHAnsi" w:hAnsi="Times New Roman" w:cs="Simplified Arabic" w:hint="cs"/>
          <w:color w:val="000000" w:themeColor="text1"/>
          <w:spacing w:val="-4"/>
          <w:sz w:val="26"/>
          <w:rtl/>
        </w:rPr>
        <w:t xml:space="preserve"> </w:t>
      </w:r>
      <w:proofErr w:type="spellStart"/>
      <w:r w:rsidRPr="00C85ED3">
        <w:rPr>
          <w:rStyle w:val="Heading3Char"/>
          <w:rFonts w:ascii="Times New Roman" w:eastAsiaTheme="minorHAnsi" w:hAnsi="Times New Roman" w:cs="Simplified Arabic" w:hint="cs"/>
          <w:color w:val="000000" w:themeColor="text1"/>
          <w:spacing w:val="-4"/>
          <w:sz w:val="26"/>
          <w:rtl/>
        </w:rPr>
        <w:t>الثانى</w:t>
      </w:r>
      <w:proofErr w:type="spellEnd"/>
      <w:r w:rsidRPr="00C85ED3">
        <w:rPr>
          <w:rFonts w:hint="cs"/>
          <w:color w:val="000000" w:themeColor="text1"/>
          <w:spacing w:val="-4"/>
          <w:sz w:val="26"/>
          <w:szCs w:val="26"/>
          <w:rtl/>
          <w:lang w:bidi="ar-EG"/>
        </w:rPr>
        <w:t xml:space="preserve">: </w:t>
      </w:r>
      <w:bookmarkStart w:id="0" w:name="_Hlk107882555"/>
      <w:r w:rsidRPr="00C85ED3">
        <w:rPr>
          <w:rFonts w:hint="cs"/>
          <w:color w:val="000000" w:themeColor="text1"/>
          <w:spacing w:val="-4"/>
          <w:sz w:val="26"/>
          <w:szCs w:val="26"/>
          <w:rtl/>
          <w:lang w:bidi="ar-EG"/>
        </w:rPr>
        <w:t>توجد علاقة معنوية ذات دلالة إحصائية بين الإفصاح المحاسبي</w:t>
      </w:r>
      <w:bookmarkEnd w:id="0"/>
      <w:r w:rsidRPr="00C85ED3">
        <w:rPr>
          <w:rFonts w:hint="cs"/>
          <w:color w:val="000000" w:themeColor="text1"/>
          <w:spacing w:val="-4"/>
          <w:sz w:val="26"/>
          <w:szCs w:val="26"/>
          <w:rtl/>
          <w:lang w:bidi="ar-EG"/>
        </w:rPr>
        <w:t xml:space="preserve"> عن الجزء الفعال من المكاسب والخسائر على أدوات التغطية المستخدمة في تحوط التدفقات النقدية وسلوك أسعار الأسهم.</w:t>
      </w:r>
    </w:p>
    <w:p w14:paraId="3F3512BB" w14:textId="16A5B8E7" w:rsidR="007E7AE2" w:rsidRPr="005920A4" w:rsidRDefault="007E7AE2" w:rsidP="00C85ED3">
      <w:pPr>
        <w:pStyle w:val="ListParagraph"/>
        <w:numPr>
          <w:ilvl w:val="0"/>
          <w:numId w:val="8"/>
        </w:numPr>
        <w:spacing w:line="221" w:lineRule="auto"/>
        <w:ind w:left="227" w:hanging="227"/>
        <w:contextualSpacing w:val="0"/>
        <w:jc w:val="lowKashida"/>
        <w:rPr>
          <w:color w:val="000000" w:themeColor="text1"/>
          <w:sz w:val="26"/>
          <w:szCs w:val="26"/>
          <w:rtl/>
          <w:lang w:bidi="ar-EG"/>
        </w:rPr>
      </w:pPr>
      <w:r w:rsidRPr="005920A4">
        <w:rPr>
          <w:rStyle w:val="Heading3Char"/>
          <w:rFonts w:ascii="Times New Roman" w:eastAsiaTheme="minorHAnsi" w:hAnsi="Times New Roman" w:cs="Simplified Arabic" w:hint="cs"/>
          <w:color w:val="000000" w:themeColor="text1"/>
          <w:sz w:val="26"/>
          <w:rtl/>
        </w:rPr>
        <w:t xml:space="preserve">الفرض </w:t>
      </w:r>
      <w:proofErr w:type="spellStart"/>
      <w:r w:rsidRPr="005920A4">
        <w:rPr>
          <w:rStyle w:val="Heading3Char"/>
          <w:rFonts w:ascii="Times New Roman" w:eastAsiaTheme="minorHAnsi" w:hAnsi="Times New Roman" w:cs="Simplified Arabic" w:hint="cs"/>
          <w:color w:val="000000" w:themeColor="text1"/>
          <w:sz w:val="26"/>
          <w:rtl/>
        </w:rPr>
        <w:t>الفرعى</w:t>
      </w:r>
      <w:proofErr w:type="spellEnd"/>
      <w:r w:rsidRPr="005920A4">
        <w:rPr>
          <w:rStyle w:val="Heading3Char"/>
          <w:rFonts w:ascii="Times New Roman" w:eastAsiaTheme="minorHAnsi" w:hAnsi="Times New Roman" w:cs="Simplified Arabic" w:hint="cs"/>
          <w:color w:val="000000" w:themeColor="text1"/>
          <w:sz w:val="26"/>
          <w:rtl/>
        </w:rPr>
        <w:t xml:space="preserve"> الثالث</w:t>
      </w:r>
      <w:r w:rsidRPr="005920A4">
        <w:rPr>
          <w:rFonts w:hint="cs"/>
          <w:color w:val="000000" w:themeColor="text1"/>
          <w:sz w:val="26"/>
          <w:szCs w:val="26"/>
          <w:rtl/>
          <w:lang w:bidi="ar-EG"/>
        </w:rPr>
        <w:t>: توجد علاقة معنوية ذات دلالة إحصائية بين الإفصاح المحاسبي عن المكاسب والخسائر الناتجة عن تسويات ترجمة العملات الأجنبية وسلوك أسعار الأسهم.</w:t>
      </w:r>
    </w:p>
    <w:p w14:paraId="721C72FC" w14:textId="77777777" w:rsidR="007E7AE2" w:rsidRPr="005920A4" w:rsidRDefault="007E7AE2" w:rsidP="00C85ED3">
      <w:pPr>
        <w:pStyle w:val="ListParagraph"/>
        <w:numPr>
          <w:ilvl w:val="0"/>
          <w:numId w:val="8"/>
        </w:numPr>
        <w:spacing w:line="221" w:lineRule="auto"/>
        <w:ind w:left="227" w:hanging="227"/>
        <w:contextualSpacing w:val="0"/>
        <w:jc w:val="lowKashida"/>
        <w:rPr>
          <w:color w:val="000000" w:themeColor="text1"/>
          <w:sz w:val="26"/>
          <w:szCs w:val="26"/>
          <w:rtl/>
          <w:lang w:bidi="ar-EG"/>
        </w:rPr>
      </w:pPr>
      <w:r w:rsidRPr="005920A4">
        <w:rPr>
          <w:rStyle w:val="Heading3Char"/>
          <w:rFonts w:ascii="Times New Roman" w:eastAsiaTheme="minorHAnsi" w:hAnsi="Times New Roman" w:cs="Simplified Arabic" w:hint="cs"/>
          <w:color w:val="000000" w:themeColor="text1"/>
          <w:sz w:val="26"/>
          <w:rtl/>
        </w:rPr>
        <w:t xml:space="preserve">الفرض </w:t>
      </w:r>
      <w:proofErr w:type="spellStart"/>
      <w:r w:rsidRPr="005920A4">
        <w:rPr>
          <w:rStyle w:val="Heading3Char"/>
          <w:rFonts w:ascii="Times New Roman" w:eastAsiaTheme="minorHAnsi" w:hAnsi="Times New Roman" w:cs="Simplified Arabic" w:hint="cs"/>
          <w:color w:val="000000" w:themeColor="text1"/>
          <w:sz w:val="26"/>
          <w:rtl/>
        </w:rPr>
        <w:t>الفرعى</w:t>
      </w:r>
      <w:proofErr w:type="spellEnd"/>
      <w:r w:rsidRPr="005920A4">
        <w:rPr>
          <w:rStyle w:val="Heading3Char"/>
          <w:rFonts w:ascii="Times New Roman" w:eastAsiaTheme="minorHAnsi" w:hAnsi="Times New Roman" w:cs="Simplified Arabic" w:hint="cs"/>
          <w:color w:val="000000" w:themeColor="text1"/>
          <w:sz w:val="26"/>
          <w:rtl/>
        </w:rPr>
        <w:t xml:space="preserve"> الرابع</w:t>
      </w:r>
      <w:r w:rsidRPr="005920A4">
        <w:rPr>
          <w:rFonts w:hint="cs"/>
          <w:color w:val="000000" w:themeColor="text1"/>
          <w:sz w:val="26"/>
          <w:szCs w:val="26"/>
          <w:rtl/>
          <w:lang w:bidi="ar-EG"/>
        </w:rPr>
        <w:t xml:space="preserve">: توجد علاقة معنوية ذات دلالة إحصائية بين الإفصاح المحاسبي عن المكاسب والخسائر </w:t>
      </w:r>
      <w:proofErr w:type="spellStart"/>
      <w:r w:rsidRPr="005920A4">
        <w:rPr>
          <w:rFonts w:hint="cs"/>
          <w:color w:val="000000" w:themeColor="text1"/>
          <w:sz w:val="26"/>
          <w:szCs w:val="26"/>
          <w:rtl/>
          <w:lang w:bidi="ar-EG"/>
        </w:rPr>
        <w:t>الإكتوارية</w:t>
      </w:r>
      <w:proofErr w:type="spellEnd"/>
      <w:r w:rsidRPr="005920A4">
        <w:rPr>
          <w:rFonts w:hint="cs"/>
          <w:color w:val="000000" w:themeColor="text1"/>
          <w:sz w:val="26"/>
          <w:szCs w:val="26"/>
          <w:rtl/>
          <w:lang w:bidi="ar-EG"/>
        </w:rPr>
        <w:t xml:space="preserve"> على خطط منافع الموظفين وسلوك أسعار الأسهم.</w:t>
      </w:r>
    </w:p>
    <w:p w14:paraId="487432B2" w14:textId="77777777" w:rsidR="007E7AE2" w:rsidRPr="005920A4" w:rsidRDefault="007E7AE2" w:rsidP="00C85ED3">
      <w:pPr>
        <w:pStyle w:val="ListParagraph"/>
        <w:numPr>
          <w:ilvl w:val="0"/>
          <w:numId w:val="8"/>
        </w:numPr>
        <w:spacing w:line="221" w:lineRule="auto"/>
        <w:ind w:left="227" w:hanging="227"/>
        <w:contextualSpacing w:val="0"/>
        <w:jc w:val="lowKashida"/>
        <w:rPr>
          <w:color w:val="000000" w:themeColor="text1"/>
          <w:sz w:val="26"/>
          <w:szCs w:val="26"/>
          <w:rtl/>
          <w:lang w:bidi="ar-EG"/>
        </w:rPr>
      </w:pPr>
      <w:r w:rsidRPr="005920A4">
        <w:rPr>
          <w:rStyle w:val="Heading3Char"/>
          <w:rFonts w:ascii="Times New Roman" w:eastAsiaTheme="minorHAnsi" w:hAnsi="Times New Roman" w:cs="Simplified Arabic" w:hint="cs"/>
          <w:color w:val="000000" w:themeColor="text1"/>
          <w:sz w:val="26"/>
          <w:rtl/>
        </w:rPr>
        <w:t xml:space="preserve">الفرض </w:t>
      </w:r>
      <w:proofErr w:type="spellStart"/>
      <w:r w:rsidRPr="005920A4">
        <w:rPr>
          <w:rStyle w:val="Heading3Char"/>
          <w:rFonts w:ascii="Times New Roman" w:eastAsiaTheme="minorHAnsi" w:hAnsi="Times New Roman" w:cs="Simplified Arabic" w:hint="cs"/>
          <w:color w:val="000000" w:themeColor="text1"/>
          <w:sz w:val="26"/>
          <w:rtl/>
        </w:rPr>
        <w:t>الفرعى</w:t>
      </w:r>
      <w:proofErr w:type="spellEnd"/>
      <w:r w:rsidRPr="005920A4">
        <w:rPr>
          <w:rStyle w:val="Heading3Char"/>
          <w:rFonts w:ascii="Times New Roman" w:eastAsiaTheme="minorHAnsi" w:hAnsi="Times New Roman" w:cs="Simplified Arabic" w:hint="cs"/>
          <w:color w:val="000000" w:themeColor="text1"/>
          <w:sz w:val="26"/>
          <w:rtl/>
        </w:rPr>
        <w:t xml:space="preserve"> الخامس</w:t>
      </w:r>
      <w:r w:rsidRPr="005920A4">
        <w:rPr>
          <w:rFonts w:hint="cs"/>
          <w:color w:val="000000" w:themeColor="text1"/>
          <w:sz w:val="26"/>
          <w:szCs w:val="26"/>
          <w:rtl/>
          <w:lang w:bidi="ar-EG"/>
        </w:rPr>
        <w:t xml:space="preserve">: توجد علاقة معنوية ذات دلالة إحصائية بين الإفصاح المحاسبي عن التغيرات في فائض إعادة التقييم للأصول الثابتة والأصول غير الملموسة وسلوك أسعار الأسهم. </w:t>
      </w:r>
    </w:p>
    <w:p w14:paraId="65BCFB8A" w14:textId="00109160" w:rsidR="00C65B31" w:rsidRPr="00C85ED3" w:rsidRDefault="00B2326F" w:rsidP="00C85ED3">
      <w:pPr>
        <w:spacing w:before="120"/>
        <w:jc w:val="lowKashida"/>
        <w:rPr>
          <w:b/>
          <w:bCs/>
          <w:color w:val="000000" w:themeColor="text1"/>
          <w:rtl/>
          <w:lang w:bidi="ar-EG"/>
        </w:rPr>
      </w:pPr>
      <w:r w:rsidRPr="00C85ED3">
        <w:rPr>
          <w:rFonts w:hint="cs"/>
          <w:b/>
          <w:bCs/>
          <w:color w:val="000000" w:themeColor="text1"/>
          <w:rtl/>
          <w:lang w:bidi="ar-EG"/>
        </w:rPr>
        <w:t>1/5</w:t>
      </w:r>
      <w:r w:rsidR="007E7AE2" w:rsidRPr="00C85ED3">
        <w:rPr>
          <w:rFonts w:hint="cs"/>
          <w:b/>
          <w:bCs/>
          <w:color w:val="000000" w:themeColor="text1"/>
          <w:rtl/>
          <w:lang w:bidi="ar-EG"/>
        </w:rPr>
        <w:t xml:space="preserve"> منهج وأسلوب البحث</w:t>
      </w:r>
      <w:r w:rsidR="00C65B31" w:rsidRPr="00C85ED3">
        <w:rPr>
          <w:rFonts w:hint="cs"/>
          <w:b/>
          <w:bCs/>
          <w:color w:val="000000" w:themeColor="text1"/>
          <w:rtl/>
          <w:lang w:bidi="ar-EG"/>
        </w:rPr>
        <w:t xml:space="preserve">: </w:t>
      </w:r>
    </w:p>
    <w:p w14:paraId="4D364B98" w14:textId="546E2556" w:rsidR="007E7AE2" w:rsidRPr="00C85ED3" w:rsidRDefault="007E7AE2" w:rsidP="002209B2">
      <w:pPr>
        <w:pStyle w:val="ListParagraph"/>
        <w:numPr>
          <w:ilvl w:val="0"/>
          <w:numId w:val="9"/>
        </w:numPr>
        <w:ind w:left="357" w:hanging="357"/>
        <w:contextualSpacing w:val="0"/>
        <w:jc w:val="lowKashida"/>
        <w:rPr>
          <w:b/>
          <w:bCs/>
          <w:color w:val="000000" w:themeColor="text1"/>
          <w:rtl/>
          <w:lang w:bidi="ar-EG"/>
        </w:rPr>
      </w:pPr>
      <w:r w:rsidRPr="00C85ED3">
        <w:rPr>
          <w:rStyle w:val="Heading2Char"/>
          <w:rFonts w:cs="Simplified Arabic" w:hint="cs"/>
          <w:b/>
          <w:bCs/>
          <w:color w:val="000000" w:themeColor="text1"/>
          <w:sz w:val="28"/>
          <w:szCs w:val="28"/>
          <w:rtl/>
        </w:rPr>
        <w:t>منهج البحث</w:t>
      </w:r>
      <w:r w:rsidRPr="00C85ED3">
        <w:rPr>
          <w:rFonts w:hint="cs"/>
          <w:b/>
          <w:bCs/>
          <w:color w:val="000000" w:themeColor="text1"/>
          <w:rtl/>
          <w:lang w:bidi="ar-EG"/>
        </w:rPr>
        <w:t>:</w:t>
      </w:r>
    </w:p>
    <w:p w14:paraId="36FEF1D1" w14:textId="77777777" w:rsidR="007E7AE2" w:rsidRPr="00E24FBE" w:rsidRDefault="007E7AE2" w:rsidP="00C24E42">
      <w:pPr>
        <w:ind w:firstLine="720"/>
        <w:jc w:val="lowKashida"/>
        <w:rPr>
          <w:b/>
          <w:bCs/>
          <w:color w:val="000000" w:themeColor="text1"/>
          <w:sz w:val="26"/>
          <w:szCs w:val="26"/>
          <w:rtl/>
          <w:lang w:bidi="ar-EG"/>
        </w:rPr>
      </w:pPr>
      <w:r w:rsidRPr="00E24FBE">
        <w:rPr>
          <w:rFonts w:hint="cs"/>
          <w:b/>
          <w:bCs/>
          <w:color w:val="000000" w:themeColor="text1"/>
          <w:sz w:val="26"/>
          <w:szCs w:val="26"/>
          <w:rtl/>
          <w:lang w:bidi="ar-EG"/>
        </w:rPr>
        <w:t>لتحقيق أهداف البحث وللإجابة على الأسئلة البحثية، واختبار مدى صحة فروض البحث تعتمد الباحثة على كل من المنهج الاستقرائي والاستنباطي، وذلك كما يلي:</w:t>
      </w:r>
    </w:p>
    <w:p w14:paraId="6D8FB278" w14:textId="55CD3A70" w:rsidR="007E7AE2" w:rsidRPr="00C85ED3" w:rsidRDefault="007E7AE2" w:rsidP="00C24E42">
      <w:pPr>
        <w:pStyle w:val="Heading3"/>
        <w:spacing w:before="0"/>
        <w:rPr>
          <w:rFonts w:cs="Simplified Arabic"/>
          <w:color w:val="000000" w:themeColor="text1"/>
          <w:sz w:val="28"/>
          <w:szCs w:val="28"/>
          <w:rtl/>
          <w:lang w:bidi="ar-EG"/>
        </w:rPr>
      </w:pPr>
      <w:r w:rsidRPr="00C85ED3">
        <w:rPr>
          <w:rFonts w:cs="Simplified Arabic" w:hint="cs"/>
          <w:color w:val="000000" w:themeColor="text1"/>
          <w:sz w:val="28"/>
          <w:szCs w:val="28"/>
          <w:rtl/>
          <w:lang w:bidi="ar-EG"/>
        </w:rPr>
        <w:t xml:space="preserve"> - المنهج الاستقرائي:</w:t>
      </w:r>
    </w:p>
    <w:p w14:paraId="3CBE93BD" w14:textId="118D0F0C" w:rsidR="007E7AE2" w:rsidRPr="00E24FBE" w:rsidRDefault="007E7AE2" w:rsidP="00C85ED3">
      <w:pPr>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هو منهج يبدأ بالجزيئات للوصول إلى العموميات وذلك عن طريق مجموعة من الخطوات المتمثلة في الملاحظة أو المشاهدة الدقيقة للظاهرة محل </w:t>
      </w:r>
      <w:proofErr w:type="gramStart"/>
      <w:r w:rsidRPr="00E24FBE">
        <w:rPr>
          <w:rFonts w:hint="cs"/>
          <w:color w:val="000000" w:themeColor="text1"/>
          <w:sz w:val="26"/>
          <w:szCs w:val="26"/>
          <w:rtl/>
          <w:lang w:bidi="ar-EG"/>
        </w:rPr>
        <w:t>الدراسة</w:t>
      </w:r>
      <w:proofErr w:type="gramEnd"/>
      <w:r w:rsidRPr="00E24FBE">
        <w:rPr>
          <w:rFonts w:hint="cs"/>
          <w:color w:val="000000" w:themeColor="text1"/>
          <w:sz w:val="26"/>
          <w:szCs w:val="26"/>
          <w:rtl/>
          <w:lang w:bidi="ar-EG"/>
        </w:rPr>
        <w:t xml:space="preserve"> ثم وضع الفروض ثم اختبار صحة أو عدم صحة هذه الفروض، وأخيرًا الوصول إلى النتائج وتعميمها (عثمان، 2014، ص 50).</w:t>
      </w:r>
      <w:r w:rsidRPr="00E24FBE">
        <w:rPr>
          <w:rFonts w:hint="cs"/>
          <w:color w:val="000000" w:themeColor="text1"/>
          <w:sz w:val="26"/>
          <w:szCs w:val="26"/>
          <w:vertAlign w:val="superscript"/>
          <w:rtl/>
          <w:lang w:bidi="ar-EG"/>
        </w:rPr>
        <w:t xml:space="preserve"> </w:t>
      </w:r>
      <w:r w:rsidRPr="00E24FBE">
        <w:rPr>
          <w:rStyle w:val="FootnoteReference"/>
          <w:rFonts w:hint="cs"/>
          <w:color w:val="000000" w:themeColor="text1"/>
          <w:sz w:val="26"/>
          <w:szCs w:val="26"/>
          <w:rtl/>
          <w:lang w:bidi="ar-EG"/>
        </w:rPr>
        <w:t xml:space="preserve"> </w:t>
      </w:r>
    </w:p>
    <w:p w14:paraId="76369418" w14:textId="77777777" w:rsidR="007E7AE2" w:rsidRPr="00E24FBE" w:rsidRDefault="007E7AE2" w:rsidP="00C24E42">
      <w:pPr>
        <w:pStyle w:val="Caption"/>
        <w:spacing w:after="0"/>
        <w:ind w:firstLine="720"/>
        <w:jc w:val="lowKashida"/>
        <w:rPr>
          <w:rFonts w:ascii="Times New Roman" w:hAnsi="Times New Roman" w:cs="Simplified Arabic"/>
          <w:b w:val="0"/>
          <w:bCs w:val="0"/>
          <w:color w:val="000000" w:themeColor="text1"/>
          <w:sz w:val="26"/>
          <w:szCs w:val="26"/>
          <w:rtl/>
          <w:lang w:bidi="ar-EG"/>
        </w:rPr>
      </w:pPr>
      <w:r w:rsidRPr="00E24FBE">
        <w:rPr>
          <w:rFonts w:ascii="Times New Roman" w:hAnsi="Times New Roman" w:cs="Simplified Arabic" w:hint="cs"/>
          <w:b w:val="0"/>
          <w:bCs w:val="0"/>
          <w:color w:val="000000" w:themeColor="text1"/>
          <w:sz w:val="26"/>
          <w:szCs w:val="26"/>
          <w:rtl/>
          <w:lang w:bidi="ar-EG"/>
        </w:rPr>
        <w:lastRenderedPageBreak/>
        <w:t xml:space="preserve">وبناء على ما سبق قامت الباحثة من خلال الدراسة النظرية المكتبية باستقراء الدراسات السابقة والبحوث العلمية المنشورة بالدوريات والمجلات العلمية وعلى مواقع الإنترنت ذات صلة بالموضوع للاسترشاد بها في وضع الإطار </w:t>
      </w:r>
      <w:proofErr w:type="spellStart"/>
      <w:r w:rsidRPr="00E24FBE">
        <w:rPr>
          <w:rFonts w:ascii="Times New Roman" w:hAnsi="Times New Roman" w:cs="Simplified Arabic" w:hint="cs"/>
          <w:b w:val="0"/>
          <w:bCs w:val="0"/>
          <w:color w:val="000000" w:themeColor="text1"/>
          <w:sz w:val="26"/>
          <w:szCs w:val="26"/>
          <w:rtl/>
          <w:lang w:bidi="ar-EG"/>
        </w:rPr>
        <w:t>النظرى</w:t>
      </w:r>
      <w:proofErr w:type="spellEnd"/>
      <w:r w:rsidRPr="00E24FBE">
        <w:rPr>
          <w:rFonts w:ascii="Times New Roman" w:hAnsi="Times New Roman" w:cs="Simplified Arabic" w:hint="cs"/>
          <w:b w:val="0"/>
          <w:bCs w:val="0"/>
          <w:color w:val="000000" w:themeColor="text1"/>
          <w:sz w:val="26"/>
          <w:szCs w:val="26"/>
          <w:rtl/>
          <w:lang w:bidi="ar-EG"/>
        </w:rPr>
        <w:t xml:space="preserve">.     </w:t>
      </w:r>
    </w:p>
    <w:p w14:paraId="26DC6624" w14:textId="052C6319" w:rsidR="007E7AE2" w:rsidRPr="00C85ED3" w:rsidRDefault="007E7AE2" w:rsidP="00C24E42">
      <w:pPr>
        <w:pStyle w:val="Heading3"/>
        <w:spacing w:before="0"/>
        <w:rPr>
          <w:rFonts w:cs="Simplified Arabic"/>
          <w:b/>
          <w:color w:val="000000" w:themeColor="text1"/>
          <w:sz w:val="28"/>
          <w:szCs w:val="28"/>
          <w:rtl/>
          <w:lang w:bidi="ar-EG"/>
        </w:rPr>
      </w:pPr>
      <w:r w:rsidRPr="00C85ED3">
        <w:rPr>
          <w:rFonts w:cs="Simplified Arabic" w:hint="cs"/>
          <w:color w:val="000000" w:themeColor="text1"/>
          <w:sz w:val="28"/>
          <w:szCs w:val="28"/>
          <w:rtl/>
          <w:lang w:bidi="ar-EG"/>
        </w:rPr>
        <w:t xml:space="preserve"> - المنهج الاستنباطي:</w:t>
      </w:r>
    </w:p>
    <w:p w14:paraId="70472BA5" w14:textId="0276DD1D" w:rsidR="007E7AE2" w:rsidRPr="00E24FBE" w:rsidRDefault="007E7AE2" w:rsidP="00C85ED3">
      <w:pPr>
        <w:spacing w:line="221" w:lineRule="auto"/>
        <w:ind w:firstLine="720"/>
        <w:jc w:val="lowKashida"/>
        <w:rPr>
          <w:color w:val="000000" w:themeColor="text1"/>
          <w:sz w:val="26"/>
          <w:szCs w:val="26"/>
          <w:rtl/>
          <w:lang w:bidi="ar-EG"/>
        </w:rPr>
      </w:pPr>
      <w:r w:rsidRPr="00E24FBE">
        <w:rPr>
          <w:rFonts w:hint="cs"/>
          <w:color w:val="000000" w:themeColor="text1"/>
          <w:sz w:val="26"/>
          <w:szCs w:val="26"/>
          <w:rtl/>
          <w:lang w:bidi="ar-EG"/>
        </w:rPr>
        <w:t>وهو منهج يبدأ بالإحكام الكلية ثم يستنتج منها الحكم الخاص وبالتالي هو منهج يهبط من المقدمات (العموميات) إلى الجزيئات معتمدًا على مجموعة من التعريفات والبديهيات للوصول إلى نتائج يمكن تعميمها (النظريات)، ويمكن أن يتم ذلك من خلال قوائم الاستقصاء (الاستبيان) لاختبار صحة فروض البحث (عثمان، 2014، ص 50).</w:t>
      </w:r>
    </w:p>
    <w:p w14:paraId="75625E76" w14:textId="77777777" w:rsidR="007E7AE2" w:rsidRPr="00E24FBE" w:rsidRDefault="007E7AE2" w:rsidP="00C85ED3">
      <w:pPr>
        <w:spacing w:line="221" w:lineRule="auto"/>
        <w:ind w:firstLine="720"/>
        <w:jc w:val="lowKashida"/>
        <w:rPr>
          <w:color w:val="000000" w:themeColor="text1"/>
          <w:sz w:val="26"/>
          <w:szCs w:val="26"/>
          <w:rtl/>
          <w:lang w:bidi="ar-EG"/>
        </w:rPr>
      </w:pPr>
      <w:r w:rsidRPr="00E24FBE">
        <w:rPr>
          <w:rFonts w:hint="cs"/>
          <w:color w:val="000000" w:themeColor="text1"/>
          <w:sz w:val="26"/>
          <w:szCs w:val="26"/>
          <w:rtl/>
          <w:lang w:bidi="ar-EG"/>
        </w:rPr>
        <w:t>حيث تحاول الباحثة استنباط وتفسير وتحليل العلاقة بين الإفصاح المحاسبي عن بنود الدخل الشامل وأسعار الأسهم، ومن ثم التأثير على كفاءة سوق الأوراق المالية.</w:t>
      </w:r>
    </w:p>
    <w:p w14:paraId="6D04F9FA" w14:textId="0D54E816" w:rsidR="007E7AE2" w:rsidRPr="00C85ED3" w:rsidRDefault="007E7AE2" w:rsidP="00C85ED3">
      <w:pPr>
        <w:pStyle w:val="ListParagraph"/>
        <w:numPr>
          <w:ilvl w:val="0"/>
          <w:numId w:val="9"/>
        </w:numPr>
        <w:spacing w:line="221" w:lineRule="auto"/>
        <w:ind w:left="357" w:hanging="357"/>
        <w:contextualSpacing w:val="0"/>
        <w:jc w:val="lowKashida"/>
        <w:rPr>
          <w:b/>
          <w:bCs/>
          <w:color w:val="000000" w:themeColor="text1"/>
          <w:rtl/>
          <w:lang w:bidi="ar-EG"/>
        </w:rPr>
      </w:pPr>
      <w:r w:rsidRPr="00C85ED3">
        <w:rPr>
          <w:rStyle w:val="Heading2Char"/>
          <w:rFonts w:cs="Simplified Arabic" w:hint="cs"/>
          <w:b/>
          <w:bCs/>
          <w:color w:val="000000" w:themeColor="text1"/>
          <w:sz w:val="28"/>
          <w:szCs w:val="28"/>
          <w:rtl/>
        </w:rPr>
        <w:t>أسلوب البحث</w:t>
      </w:r>
      <w:r w:rsidRPr="00C85ED3">
        <w:rPr>
          <w:rFonts w:hint="cs"/>
          <w:b/>
          <w:bCs/>
          <w:color w:val="000000" w:themeColor="text1"/>
          <w:rtl/>
          <w:lang w:bidi="ar-EG"/>
        </w:rPr>
        <w:t>:</w:t>
      </w:r>
      <w:r w:rsidR="00C85ED3">
        <w:rPr>
          <w:rFonts w:hint="cs"/>
          <w:b/>
          <w:bCs/>
          <w:color w:val="000000" w:themeColor="text1"/>
          <w:rtl/>
          <w:lang w:bidi="ar-EG"/>
        </w:rPr>
        <w:t xml:space="preserve"> </w:t>
      </w:r>
      <w:r w:rsidRPr="00C85ED3">
        <w:rPr>
          <w:rFonts w:hint="cs"/>
          <w:color w:val="000000" w:themeColor="text1"/>
          <w:sz w:val="26"/>
          <w:szCs w:val="26"/>
          <w:rtl/>
          <w:lang w:bidi="ar-EG"/>
        </w:rPr>
        <w:t>تعتمد الباحثة على أسلوبين هما:</w:t>
      </w:r>
    </w:p>
    <w:p w14:paraId="72F6D35E" w14:textId="77777777" w:rsidR="007E7AE2" w:rsidRPr="00E24FBE" w:rsidRDefault="007E7AE2" w:rsidP="00C85ED3">
      <w:pPr>
        <w:pStyle w:val="ListParagraph"/>
        <w:numPr>
          <w:ilvl w:val="1"/>
          <w:numId w:val="6"/>
        </w:numPr>
        <w:spacing w:line="221" w:lineRule="auto"/>
        <w:ind w:left="227" w:hanging="227"/>
        <w:contextualSpacing w:val="0"/>
        <w:jc w:val="lowKashida"/>
        <w:rPr>
          <w:color w:val="000000" w:themeColor="text1"/>
          <w:sz w:val="26"/>
          <w:szCs w:val="26"/>
          <w:lang w:bidi="ar-EG"/>
        </w:rPr>
      </w:pPr>
      <w:r w:rsidRPr="00E24FBE">
        <w:rPr>
          <w:rFonts w:hint="cs"/>
          <w:b/>
          <w:bCs/>
          <w:color w:val="000000" w:themeColor="text1"/>
          <w:sz w:val="26"/>
          <w:szCs w:val="26"/>
          <w:rtl/>
          <w:lang w:bidi="ar-EG"/>
        </w:rPr>
        <w:t>الأسلوب الأول</w:t>
      </w:r>
      <w:r w:rsidRPr="00E24FBE">
        <w:rPr>
          <w:rFonts w:hint="cs"/>
          <w:color w:val="000000" w:themeColor="text1"/>
          <w:sz w:val="26"/>
          <w:szCs w:val="26"/>
          <w:rtl/>
          <w:lang w:bidi="ar-EG"/>
        </w:rPr>
        <w:t>: من خلال المسح المكتبي لأهم ما كتب ونشر من مؤلفات وأبحاث ودراسات باللغة العربية والأجنبية وتتعلق بموضوع البحث.</w:t>
      </w:r>
    </w:p>
    <w:p w14:paraId="0217BE8E" w14:textId="77777777" w:rsidR="007E7AE2" w:rsidRPr="00E24FBE" w:rsidRDefault="007E7AE2" w:rsidP="00C85ED3">
      <w:pPr>
        <w:pStyle w:val="ListParagraph"/>
        <w:numPr>
          <w:ilvl w:val="1"/>
          <w:numId w:val="6"/>
        </w:numPr>
        <w:spacing w:line="221" w:lineRule="auto"/>
        <w:ind w:left="227" w:hanging="227"/>
        <w:contextualSpacing w:val="0"/>
        <w:jc w:val="mediumKashida"/>
        <w:rPr>
          <w:color w:val="000000" w:themeColor="text1"/>
          <w:sz w:val="26"/>
          <w:szCs w:val="26"/>
          <w:rtl/>
          <w:lang w:bidi="ar-EG"/>
        </w:rPr>
      </w:pPr>
      <w:r w:rsidRPr="00E24FBE">
        <w:rPr>
          <w:rFonts w:hint="cs"/>
          <w:b/>
          <w:bCs/>
          <w:color w:val="000000" w:themeColor="text1"/>
          <w:sz w:val="26"/>
          <w:szCs w:val="26"/>
          <w:rtl/>
          <w:lang w:bidi="ar-EG"/>
        </w:rPr>
        <w:t>الأسلوب الثاني</w:t>
      </w:r>
      <w:r w:rsidRPr="00E24FBE">
        <w:rPr>
          <w:rFonts w:hint="cs"/>
          <w:color w:val="000000" w:themeColor="text1"/>
          <w:sz w:val="26"/>
          <w:szCs w:val="26"/>
          <w:rtl/>
          <w:lang w:bidi="ar-EG"/>
        </w:rPr>
        <w:t>: الدراسة الاختبارية حيث تعتمد الباحثة على تصميم قائمة استقصاء وتوزيعها على عينة من معدي ومستخدمي التقارير والقوائم المالية والمراجعين وأعضاء هيئة التدريس والوسطاء الماليين، وتحليل البيانات واستخلاص النتائج وذلك الوقوف على آرائهم وخبراتهم والاستفادة منها في التغلب على مشكلة البحث وتحقيق أهدافه.</w:t>
      </w:r>
    </w:p>
    <w:p w14:paraId="2DE343E7" w14:textId="435D032E" w:rsidR="00C65B31" w:rsidRPr="00A22497" w:rsidRDefault="00C65B31" w:rsidP="00C85ED3">
      <w:pPr>
        <w:spacing w:line="221" w:lineRule="auto"/>
        <w:ind w:left="720" w:hanging="720"/>
        <w:jc w:val="lowKashida"/>
        <w:outlineLvl w:val="0"/>
        <w:rPr>
          <w:rFonts w:eastAsiaTheme="majorEastAsia"/>
          <w:b/>
          <w:bCs/>
          <w:color w:val="000000" w:themeColor="text1"/>
          <w:rtl/>
          <w:lang w:bidi="ar-EG"/>
        </w:rPr>
      </w:pPr>
      <w:r w:rsidRPr="00A22497">
        <w:rPr>
          <w:rFonts w:eastAsiaTheme="majorEastAsia" w:hint="cs"/>
          <w:b/>
          <w:bCs/>
          <w:color w:val="000000" w:themeColor="text1"/>
          <w:rtl/>
          <w:lang w:bidi="ar-EG"/>
        </w:rPr>
        <w:t xml:space="preserve">1/6 </w:t>
      </w:r>
      <w:r w:rsidR="007E7AE2" w:rsidRPr="00A22497">
        <w:rPr>
          <w:rFonts w:eastAsiaTheme="majorEastAsia" w:hint="cs"/>
          <w:b/>
          <w:bCs/>
          <w:color w:val="000000" w:themeColor="text1"/>
          <w:rtl/>
          <w:lang w:bidi="ar-EG"/>
        </w:rPr>
        <w:t>نطاق وحدود البحث</w:t>
      </w:r>
      <w:r w:rsidRPr="00A22497">
        <w:rPr>
          <w:rFonts w:eastAsiaTheme="majorEastAsia" w:hint="cs"/>
          <w:b/>
          <w:bCs/>
          <w:color w:val="000000" w:themeColor="text1"/>
          <w:rtl/>
          <w:lang w:bidi="ar-EG"/>
        </w:rPr>
        <w:t xml:space="preserve">: </w:t>
      </w:r>
    </w:p>
    <w:p w14:paraId="0FA8B980" w14:textId="77777777" w:rsidR="007E7AE2" w:rsidRPr="00E24FBE" w:rsidRDefault="007E7AE2" w:rsidP="00C85ED3">
      <w:pPr>
        <w:pStyle w:val="ListParagraph"/>
        <w:numPr>
          <w:ilvl w:val="1"/>
          <w:numId w:val="6"/>
        </w:numPr>
        <w:spacing w:line="221" w:lineRule="auto"/>
        <w:ind w:left="227" w:hanging="227"/>
        <w:contextualSpacing w:val="0"/>
        <w:jc w:val="lowKashida"/>
        <w:rPr>
          <w:color w:val="000000" w:themeColor="text1"/>
          <w:sz w:val="26"/>
          <w:szCs w:val="26"/>
          <w:lang w:bidi="ar-EG"/>
        </w:rPr>
      </w:pPr>
      <w:r w:rsidRPr="00E24FBE">
        <w:rPr>
          <w:rFonts w:eastAsiaTheme="majorEastAsia" w:hint="cs"/>
          <w:b/>
          <w:bCs/>
          <w:color w:val="000000" w:themeColor="text1"/>
          <w:sz w:val="26"/>
          <w:szCs w:val="26"/>
          <w:rtl/>
        </w:rPr>
        <w:t>نطاق البحث</w:t>
      </w:r>
      <w:r w:rsidR="00C65B31" w:rsidRPr="00E24FBE">
        <w:rPr>
          <w:rFonts w:hint="cs"/>
          <w:b/>
          <w:bCs/>
          <w:color w:val="000000" w:themeColor="text1"/>
          <w:sz w:val="26"/>
          <w:szCs w:val="26"/>
          <w:rtl/>
          <w:lang w:bidi="ar-EG"/>
        </w:rPr>
        <w:t xml:space="preserve">: </w:t>
      </w:r>
      <w:r w:rsidRPr="00E24FBE">
        <w:rPr>
          <w:rFonts w:hint="cs"/>
          <w:color w:val="000000" w:themeColor="text1"/>
          <w:sz w:val="26"/>
          <w:szCs w:val="26"/>
          <w:rtl/>
          <w:lang w:bidi="ar-EG"/>
        </w:rPr>
        <w:t>سوف تنطوي الدراسة على قياس أثر الإفصاح المحاسبي عن بنود الدخل الشامل على سلوك أسعار الأسهم في سوق الأوراق المالية المصرية.</w:t>
      </w:r>
    </w:p>
    <w:p w14:paraId="78311DA1" w14:textId="025664B7" w:rsidR="007E7AE2" w:rsidRDefault="007E7AE2" w:rsidP="00C85ED3">
      <w:pPr>
        <w:pStyle w:val="ListParagraph"/>
        <w:numPr>
          <w:ilvl w:val="1"/>
          <w:numId w:val="6"/>
        </w:numPr>
        <w:spacing w:line="221" w:lineRule="auto"/>
        <w:ind w:left="227" w:hanging="227"/>
        <w:contextualSpacing w:val="0"/>
        <w:jc w:val="lowKashida"/>
        <w:rPr>
          <w:color w:val="000000" w:themeColor="text1"/>
          <w:sz w:val="26"/>
          <w:szCs w:val="26"/>
          <w:lang w:bidi="ar-EG"/>
        </w:rPr>
      </w:pPr>
      <w:r w:rsidRPr="00E24FBE">
        <w:rPr>
          <w:rFonts w:eastAsiaTheme="majorEastAsia" w:hint="cs"/>
          <w:b/>
          <w:bCs/>
          <w:color w:val="000000" w:themeColor="text1"/>
          <w:sz w:val="26"/>
          <w:szCs w:val="26"/>
          <w:rtl/>
        </w:rPr>
        <w:t>حدود البحث:</w:t>
      </w:r>
      <w:r w:rsidRPr="00E24FBE">
        <w:rPr>
          <w:rFonts w:hint="cs"/>
          <w:color w:val="000000" w:themeColor="text1"/>
          <w:sz w:val="26"/>
          <w:szCs w:val="26"/>
          <w:rtl/>
          <w:lang w:bidi="ar-EG"/>
        </w:rPr>
        <w:t xml:space="preserve"> تقتصر الدراسة على الأسهم العادية فقط دون التطرق لكل من الأسهم الممتازة والسندات.</w:t>
      </w:r>
    </w:p>
    <w:p w14:paraId="4A0DD5F9" w14:textId="4305EC6A" w:rsidR="00C65B31" w:rsidRPr="00C85ED3" w:rsidRDefault="00C65B31" w:rsidP="00C85ED3">
      <w:pPr>
        <w:spacing w:before="120" w:line="221" w:lineRule="auto"/>
        <w:jc w:val="lowKashida"/>
        <w:rPr>
          <w:b/>
          <w:bCs/>
          <w:color w:val="000000" w:themeColor="text1"/>
          <w:sz w:val="30"/>
          <w:szCs w:val="30"/>
          <w:rtl/>
          <w:lang w:bidi="ar-EG"/>
        </w:rPr>
      </w:pPr>
      <w:r w:rsidRPr="00C85ED3">
        <w:rPr>
          <w:rFonts w:hint="cs"/>
          <w:b/>
          <w:bCs/>
          <w:color w:val="000000" w:themeColor="text1"/>
          <w:sz w:val="30"/>
          <w:szCs w:val="30"/>
          <w:rtl/>
          <w:lang w:bidi="ar-EG"/>
        </w:rPr>
        <w:t xml:space="preserve">1/7 خطة البحث: </w:t>
      </w:r>
      <w:r w:rsidR="00C85ED3">
        <w:rPr>
          <w:rFonts w:hint="cs"/>
          <w:b/>
          <w:bCs/>
          <w:color w:val="000000" w:themeColor="text1"/>
          <w:sz w:val="30"/>
          <w:szCs w:val="30"/>
          <w:rtl/>
          <w:lang w:bidi="ar-EG"/>
        </w:rPr>
        <w:t xml:space="preserve"> </w:t>
      </w:r>
      <w:proofErr w:type="spellStart"/>
      <w:r w:rsidRPr="00E24FBE">
        <w:rPr>
          <w:rFonts w:hint="cs"/>
          <w:color w:val="000000" w:themeColor="text1"/>
          <w:sz w:val="26"/>
          <w:szCs w:val="26"/>
          <w:rtl/>
          <w:lang w:bidi="ar-EG"/>
        </w:rPr>
        <w:t>فى</w:t>
      </w:r>
      <w:proofErr w:type="spellEnd"/>
      <w:r w:rsidRPr="00E24FBE">
        <w:rPr>
          <w:rFonts w:hint="cs"/>
          <w:color w:val="000000" w:themeColor="text1"/>
          <w:sz w:val="26"/>
          <w:szCs w:val="26"/>
          <w:rtl/>
          <w:lang w:bidi="ar-EG"/>
        </w:rPr>
        <w:t xml:space="preserve"> ضوء مشكلة وأهداف البحث وحدوده تتمثل خطة البحث فيما يلى:-</w:t>
      </w:r>
    </w:p>
    <w:p w14:paraId="0FD69FE8" w14:textId="77777777" w:rsidR="00C65B31" w:rsidRPr="00E24FBE" w:rsidRDefault="00C65B31" w:rsidP="00C85ED3">
      <w:pPr>
        <w:pStyle w:val="ListParagraph"/>
        <w:numPr>
          <w:ilvl w:val="1"/>
          <w:numId w:val="3"/>
        </w:numPr>
        <w:spacing w:line="221" w:lineRule="auto"/>
        <w:ind w:left="728" w:hanging="426"/>
        <w:contextualSpacing w:val="0"/>
        <w:jc w:val="lowKashida"/>
        <w:rPr>
          <w:color w:val="000000" w:themeColor="text1"/>
          <w:sz w:val="26"/>
          <w:szCs w:val="26"/>
          <w:lang w:bidi="ar-EG"/>
        </w:rPr>
      </w:pPr>
      <w:r w:rsidRPr="00E24FBE">
        <w:rPr>
          <w:rFonts w:hint="cs"/>
          <w:color w:val="000000" w:themeColor="text1"/>
          <w:sz w:val="26"/>
          <w:szCs w:val="26"/>
          <w:rtl/>
          <w:lang w:bidi="ar-EG"/>
        </w:rPr>
        <w:t>الإطار العام للبحث .</w:t>
      </w:r>
    </w:p>
    <w:p w14:paraId="06C950E2" w14:textId="003222AB" w:rsidR="006728B2" w:rsidRPr="00E24FBE" w:rsidRDefault="006728B2" w:rsidP="00C85ED3">
      <w:pPr>
        <w:pStyle w:val="ListParagraph"/>
        <w:numPr>
          <w:ilvl w:val="1"/>
          <w:numId w:val="3"/>
        </w:numPr>
        <w:spacing w:line="221" w:lineRule="auto"/>
        <w:ind w:left="728" w:hanging="426"/>
        <w:contextualSpacing w:val="0"/>
        <w:jc w:val="lowKashida"/>
        <w:rPr>
          <w:color w:val="000000" w:themeColor="text1"/>
          <w:sz w:val="26"/>
          <w:szCs w:val="26"/>
          <w:lang w:bidi="ar-EG"/>
        </w:rPr>
      </w:pPr>
      <w:proofErr w:type="spellStart"/>
      <w:r w:rsidRPr="00E24FBE">
        <w:rPr>
          <w:rFonts w:hint="cs"/>
          <w:color w:val="000000" w:themeColor="text1"/>
          <w:sz w:val="26"/>
          <w:szCs w:val="26"/>
          <w:rtl/>
          <w:lang w:bidi="ar-EG"/>
        </w:rPr>
        <w:t>مغهوم</w:t>
      </w:r>
      <w:proofErr w:type="spellEnd"/>
      <w:r w:rsidRPr="00E24FBE">
        <w:rPr>
          <w:rFonts w:hint="cs"/>
          <w:color w:val="000000" w:themeColor="text1"/>
          <w:sz w:val="26"/>
          <w:szCs w:val="26"/>
          <w:rtl/>
          <w:lang w:bidi="ar-EG"/>
        </w:rPr>
        <w:t xml:space="preserve"> ومكونات الدخل الشامل من منظور الإصدارات المهنية وال</w:t>
      </w:r>
      <w:r w:rsidR="00405DF8" w:rsidRPr="00E24FBE">
        <w:rPr>
          <w:rFonts w:hint="cs"/>
          <w:color w:val="000000" w:themeColor="text1"/>
          <w:sz w:val="26"/>
          <w:szCs w:val="26"/>
          <w:rtl/>
          <w:lang w:bidi="ar-EG"/>
        </w:rPr>
        <w:t xml:space="preserve">فكر </w:t>
      </w:r>
      <w:proofErr w:type="spellStart"/>
      <w:r w:rsidRPr="00E24FBE">
        <w:rPr>
          <w:rFonts w:hint="cs"/>
          <w:color w:val="000000" w:themeColor="text1"/>
          <w:sz w:val="26"/>
          <w:szCs w:val="26"/>
          <w:rtl/>
          <w:lang w:bidi="ar-EG"/>
        </w:rPr>
        <w:t>المحاسبى</w:t>
      </w:r>
      <w:proofErr w:type="spellEnd"/>
      <w:r w:rsidRPr="00E24FBE">
        <w:rPr>
          <w:rFonts w:hint="cs"/>
          <w:color w:val="000000" w:themeColor="text1"/>
          <w:sz w:val="26"/>
          <w:szCs w:val="26"/>
          <w:rtl/>
          <w:lang w:bidi="ar-EG"/>
        </w:rPr>
        <w:t>.</w:t>
      </w:r>
    </w:p>
    <w:p w14:paraId="37C130B8" w14:textId="0C255709" w:rsidR="00C65B31" w:rsidRPr="00E24FBE" w:rsidRDefault="006728B2" w:rsidP="00C85ED3">
      <w:pPr>
        <w:pStyle w:val="ListParagraph"/>
        <w:numPr>
          <w:ilvl w:val="1"/>
          <w:numId w:val="3"/>
        </w:numPr>
        <w:spacing w:line="221" w:lineRule="auto"/>
        <w:ind w:left="728" w:hanging="426"/>
        <w:contextualSpacing w:val="0"/>
        <w:jc w:val="lowKashida"/>
        <w:rPr>
          <w:color w:val="000000" w:themeColor="text1"/>
          <w:sz w:val="26"/>
          <w:szCs w:val="26"/>
          <w:lang w:bidi="ar-EG"/>
        </w:rPr>
      </w:pPr>
      <w:bookmarkStart w:id="1" w:name="_Hlk148925367"/>
      <w:r w:rsidRPr="00E24FBE">
        <w:rPr>
          <w:rFonts w:hint="cs"/>
          <w:color w:val="000000" w:themeColor="text1"/>
          <w:sz w:val="26"/>
          <w:szCs w:val="26"/>
          <w:rtl/>
          <w:lang w:bidi="ar-EG"/>
        </w:rPr>
        <w:t xml:space="preserve">أهمية وبدائل الإفصاح </w:t>
      </w:r>
      <w:proofErr w:type="spellStart"/>
      <w:r w:rsidRPr="00E24FBE">
        <w:rPr>
          <w:rFonts w:hint="cs"/>
          <w:color w:val="000000" w:themeColor="text1"/>
          <w:sz w:val="26"/>
          <w:szCs w:val="26"/>
          <w:rtl/>
          <w:lang w:bidi="ar-EG"/>
        </w:rPr>
        <w:t>المحاسبى</w:t>
      </w:r>
      <w:proofErr w:type="spellEnd"/>
      <w:r w:rsidRPr="00E24FBE">
        <w:rPr>
          <w:rFonts w:hint="cs"/>
          <w:color w:val="000000" w:themeColor="text1"/>
          <w:sz w:val="26"/>
          <w:szCs w:val="26"/>
          <w:rtl/>
          <w:lang w:bidi="ar-EG"/>
        </w:rPr>
        <w:t xml:space="preserve"> عن الدخل الشامل وفقاً للإصدارات المهنية. </w:t>
      </w:r>
    </w:p>
    <w:bookmarkEnd w:id="1"/>
    <w:p w14:paraId="0976C77B" w14:textId="45E1EF69" w:rsidR="00C65B31" w:rsidRPr="00E24FBE" w:rsidRDefault="00D53846" w:rsidP="00C85ED3">
      <w:pPr>
        <w:pStyle w:val="ListParagraph"/>
        <w:numPr>
          <w:ilvl w:val="1"/>
          <w:numId w:val="3"/>
        </w:numPr>
        <w:spacing w:line="221" w:lineRule="auto"/>
        <w:ind w:left="728" w:hanging="426"/>
        <w:contextualSpacing w:val="0"/>
        <w:jc w:val="lowKashida"/>
        <w:rPr>
          <w:color w:val="000000" w:themeColor="text1"/>
          <w:sz w:val="26"/>
          <w:szCs w:val="26"/>
          <w:lang w:bidi="ar-EG"/>
        </w:rPr>
      </w:pPr>
      <w:r w:rsidRPr="00E24FBE">
        <w:rPr>
          <w:rFonts w:hint="cs"/>
          <w:color w:val="000000" w:themeColor="text1"/>
          <w:sz w:val="26"/>
          <w:szCs w:val="26"/>
          <w:rtl/>
          <w:lang w:bidi="ar-EG"/>
        </w:rPr>
        <w:t>ماهية أسعار الأسهم وعلاقتها بسوق الأوراق المالية والعوامل المؤثرة فيها.</w:t>
      </w:r>
    </w:p>
    <w:p w14:paraId="2CCF7BD9" w14:textId="278B86F8" w:rsidR="00C65B31" w:rsidRPr="00C85ED3" w:rsidRDefault="00D53846" w:rsidP="00C85ED3">
      <w:pPr>
        <w:pStyle w:val="ListParagraph"/>
        <w:numPr>
          <w:ilvl w:val="1"/>
          <w:numId w:val="3"/>
        </w:numPr>
        <w:spacing w:line="221" w:lineRule="auto"/>
        <w:ind w:left="728" w:right="-567" w:hanging="426"/>
        <w:contextualSpacing w:val="0"/>
        <w:jc w:val="lowKashida"/>
        <w:rPr>
          <w:color w:val="000000" w:themeColor="text1"/>
          <w:spacing w:val="-4"/>
          <w:sz w:val="26"/>
          <w:szCs w:val="26"/>
          <w:lang w:bidi="ar-EG"/>
        </w:rPr>
      </w:pPr>
      <w:bookmarkStart w:id="2" w:name="_Hlk149082897"/>
      <w:r w:rsidRPr="00C85ED3">
        <w:rPr>
          <w:rFonts w:hint="cs"/>
          <w:color w:val="000000" w:themeColor="text1"/>
          <w:spacing w:val="-4"/>
          <w:sz w:val="26"/>
          <w:szCs w:val="26"/>
          <w:rtl/>
          <w:lang w:bidi="ar-EG"/>
        </w:rPr>
        <w:t xml:space="preserve">العلاقة بين الإفصاح </w:t>
      </w:r>
      <w:proofErr w:type="spellStart"/>
      <w:r w:rsidRPr="00C85ED3">
        <w:rPr>
          <w:rFonts w:hint="cs"/>
          <w:color w:val="000000" w:themeColor="text1"/>
          <w:spacing w:val="-4"/>
          <w:sz w:val="26"/>
          <w:szCs w:val="26"/>
          <w:rtl/>
          <w:lang w:bidi="ar-EG"/>
        </w:rPr>
        <w:t>المحاسبى</w:t>
      </w:r>
      <w:proofErr w:type="spellEnd"/>
      <w:r w:rsidRPr="00C85ED3">
        <w:rPr>
          <w:rFonts w:hint="cs"/>
          <w:color w:val="000000" w:themeColor="text1"/>
          <w:spacing w:val="-4"/>
          <w:sz w:val="26"/>
          <w:szCs w:val="26"/>
          <w:rtl/>
          <w:lang w:bidi="ar-EG"/>
        </w:rPr>
        <w:t xml:space="preserve"> عن بنود الدخل الشامل وأسعار الأسهم في سوق الأوراق المالية المصرية.</w:t>
      </w:r>
    </w:p>
    <w:bookmarkEnd w:id="2"/>
    <w:p w14:paraId="2ECEF638" w14:textId="62085169" w:rsidR="00C65B31" w:rsidRPr="00E24FBE" w:rsidRDefault="00C65B31" w:rsidP="00C85ED3">
      <w:pPr>
        <w:pStyle w:val="ListParagraph"/>
        <w:numPr>
          <w:ilvl w:val="1"/>
          <w:numId w:val="3"/>
        </w:numPr>
        <w:spacing w:line="221" w:lineRule="auto"/>
        <w:ind w:left="728" w:hanging="426"/>
        <w:contextualSpacing w:val="0"/>
        <w:jc w:val="lowKashida"/>
        <w:rPr>
          <w:color w:val="000000" w:themeColor="text1"/>
          <w:sz w:val="26"/>
          <w:szCs w:val="26"/>
          <w:lang w:bidi="ar-EG"/>
        </w:rPr>
      </w:pPr>
      <w:r w:rsidRPr="00E24FBE">
        <w:rPr>
          <w:rFonts w:hint="cs"/>
          <w:color w:val="000000" w:themeColor="text1"/>
          <w:sz w:val="26"/>
          <w:szCs w:val="26"/>
          <w:rtl/>
          <w:lang w:bidi="ar-EG"/>
        </w:rPr>
        <w:t xml:space="preserve">الدراسة </w:t>
      </w:r>
      <w:r w:rsidR="00D53846" w:rsidRPr="00E24FBE">
        <w:rPr>
          <w:rFonts w:hint="cs"/>
          <w:color w:val="000000" w:themeColor="text1"/>
          <w:sz w:val="26"/>
          <w:szCs w:val="26"/>
          <w:rtl/>
          <w:lang w:bidi="ar-EG"/>
        </w:rPr>
        <w:t>الاختبارية</w:t>
      </w:r>
      <w:r w:rsidRPr="00E24FBE">
        <w:rPr>
          <w:rFonts w:hint="cs"/>
          <w:color w:val="000000" w:themeColor="text1"/>
          <w:sz w:val="26"/>
          <w:szCs w:val="26"/>
          <w:rtl/>
          <w:lang w:bidi="ar-EG"/>
        </w:rPr>
        <w:t xml:space="preserve">. </w:t>
      </w:r>
    </w:p>
    <w:p w14:paraId="54C899A2" w14:textId="77777777" w:rsidR="00C65B31" w:rsidRPr="00E24FBE" w:rsidRDefault="00C65B31" w:rsidP="00C85ED3">
      <w:pPr>
        <w:pStyle w:val="ListParagraph"/>
        <w:numPr>
          <w:ilvl w:val="1"/>
          <w:numId w:val="3"/>
        </w:numPr>
        <w:spacing w:line="221" w:lineRule="auto"/>
        <w:ind w:left="728" w:hanging="426"/>
        <w:contextualSpacing w:val="0"/>
        <w:jc w:val="lowKashida"/>
        <w:rPr>
          <w:color w:val="000000" w:themeColor="text1"/>
          <w:sz w:val="26"/>
          <w:szCs w:val="26"/>
          <w:lang w:bidi="ar-EG"/>
        </w:rPr>
      </w:pPr>
      <w:r w:rsidRPr="00E24FBE">
        <w:rPr>
          <w:rFonts w:hint="cs"/>
          <w:color w:val="000000" w:themeColor="text1"/>
          <w:sz w:val="26"/>
          <w:szCs w:val="26"/>
          <w:rtl/>
          <w:lang w:bidi="ar-EG"/>
        </w:rPr>
        <w:t xml:space="preserve">مناقشة النتائج. </w:t>
      </w:r>
    </w:p>
    <w:p w14:paraId="2EBACD25" w14:textId="77777777" w:rsidR="00C65B31" w:rsidRPr="00E24FBE" w:rsidRDefault="00C65B31" w:rsidP="00C85ED3">
      <w:pPr>
        <w:pStyle w:val="ListParagraph"/>
        <w:numPr>
          <w:ilvl w:val="1"/>
          <w:numId w:val="3"/>
        </w:numPr>
        <w:spacing w:line="221" w:lineRule="auto"/>
        <w:ind w:left="728" w:hanging="426"/>
        <w:contextualSpacing w:val="0"/>
        <w:jc w:val="lowKashida"/>
        <w:rPr>
          <w:color w:val="000000" w:themeColor="text1"/>
          <w:sz w:val="26"/>
          <w:szCs w:val="26"/>
          <w:lang w:bidi="ar-EG"/>
        </w:rPr>
      </w:pPr>
      <w:r w:rsidRPr="00E24FBE">
        <w:rPr>
          <w:rFonts w:hint="cs"/>
          <w:color w:val="000000" w:themeColor="text1"/>
          <w:sz w:val="26"/>
          <w:szCs w:val="26"/>
          <w:rtl/>
          <w:lang w:bidi="ar-EG"/>
        </w:rPr>
        <w:t>التوصيات.</w:t>
      </w:r>
    </w:p>
    <w:p w14:paraId="4F5CD07E" w14:textId="77777777" w:rsidR="00C65B31" w:rsidRPr="00E24FBE" w:rsidRDefault="00C65B31" w:rsidP="00C85ED3">
      <w:pPr>
        <w:pStyle w:val="ListParagraph"/>
        <w:numPr>
          <w:ilvl w:val="1"/>
          <w:numId w:val="3"/>
        </w:numPr>
        <w:spacing w:line="221" w:lineRule="auto"/>
        <w:ind w:left="728" w:hanging="426"/>
        <w:contextualSpacing w:val="0"/>
        <w:jc w:val="lowKashida"/>
        <w:rPr>
          <w:color w:val="000000" w:themeColor="text1"/>
          <w:sz w:val="26"/>
          <w:szCs w:val="26"/>
          <w:lang w:bidi="ar-EG"/>
        </w:rPr>
      </w:pPr>
      <w:r w:rsidRPr="00E24FBE">
        <w:rPr>
          <w:rFonts w:hint="cs"/>
          <w:color w:val="000000" w:themeColor="text1"/>
          <w:sz w:val="26"/>
          <w:szCs w:val="26"/>
          <w:rtl/>
          <w:lang w:bidi="ar-EG"/>
        </w:rPr>
        <w:t xml:space="preserve">المراجع. </w:t>
      </w:r>
    </w:p>
    <w:p w14:paraId="07BB7D8B" w14:textId="07F647F8" w:rsidR="0056239C" w:rsidRPr="00455247" w:rsidRDefault="00405DF8" w:rsidP="002209B2">
      <w:pPr>
        <w:pStyle w:val="ListParagraph"/>
        <w:numPr>
          <w:ilvl w:val="0"/>
          <w:numId w:val="3"/>
        </w:numPr>
        <w:ind w:left="424" w:hanging="424"/>
        <w:jc w:val="lowKashida"/>
        <w:rPr>
          <w:b/>
          <w:bCs/>
          <w:color w:val="000000" w:themeColor="text1"/>
          <w:lang w:bidi="ar-EG"/>
        </w:rPr>
      </w:pPr>
      <w:r w:rsidRPr="00455247">
        <w:rPr>
          <w:rFonts w:hint="cs"/>
          <w:b/>
          <w:bCs/>
          <w:color w:val="000000" w:themeColor="text1"/>
          <w:rtl/>
          <w:lang w:bidi="ar-EG"/>
        </w:rPr>
        <w:lastRenderedPageBreak/>
        <w:t>م</w:t>
      </w:r>
      <w:r w:rsidR="0013043B" w:rsidRPr="00455247">
        <w:rPr>
          <w:rFonts w:hint="cs"/>
          <w:b/>
          <w:bCs/>
          <w:color w:val="000000" w:themeColor="text1"/>
          <w:rtl/>
          <w:lang w:bidi="ar-EG"/>
        </w:rPr>
        <w:t>ف</w:t>
      </w:r>
      <w:r w:rsidRPr="00455247">
        <w:rPr>
          <w:rFonts w:hint="cs"/>
          <w:b/>
          <w:bCs/>
          <w:color w:val="000000" w:themeColor="text1"/>
          <w:rtl/>
          <w:lang w:bidi="ar-EG"/>
        </w:rPr>
        <w:t xml:space="preserve">هوم ومكونات الدخل الشامل من منظور الإصدارات المهنية والفكر </w:t>
      </w:r>
      <w:proofErr w:type="spellStart"/>
      <w:r w:rsidRPr="00455247">
        <w:rPr>
          <w:rFonts w:hint="cs"/>
          <w:b/>
          <w:bCs/>
          <w:color w:val="000000" w:themeColor="text1"/>
          <w:rtl/>
          <w:lang w:bidi="ar-EG"/>
        </w:rPr>
        <w:t>المحاسبى</w:t>
      </w:r>
      <w:proofErr w:type="spellEnd"/>
      <w:r w:rsidRPr="00455247">
        <w:rPr>
          <w:rFonts w:hint="cs"/>
          <w:b/>
          <w:bCs/>
          <w:color w:val="000000" w:themeColor="text1"/>
          <w:rtl/>
          <w:lang w:bidi="ar-EG"/>
        </w:rPr>
        <w:t>:</w:t>
      </w:r>
    </w:p>
    <w:p w14:paraId="1B592799" w14:textId="6D6F771C" w:rsidR="00B20E50" w:rsidRPr="00C85ED3" w:rsidRDefault="00B20E50" w:rsidP="00C24E42">
      <w:pPr>
        <w:pStyle w:val="Heading1"/>
        <w:spacing w:before="0"/>
        <w:jc w:val="left"/>
        <w:rPr>
          <w:rFonts w:cs="Simplified Arabic"/>
          <w:b/>
          <w:bCs/>
          <w:color w:val="000000" w:themeColor="text1"/>
          <w:sz w:val="30"/>
          <w:szCs w:val="30"/>
          <w:rtl/>
          <w:lang w:bidi="ar-EG"/>
        </w:rPr>
      </w:pPr>
      <w:r w:rsidRPr="00C85ED3">
        <w:rPr>
          <w:rFonts w:cs="Simplified Arabic" w:hint="cs"/>
          <w:b/>
          <w:bCs/>
          <w:color w:val="000000" w:themeColor="text1"/>
          <w:sz w:val="30"/>
          <w:szCs w:val="30"/>
          <w:rtl/>
          <w:lang w:bidi="ar-EG"/>
        </w:rPr>
        <w:t>2/1 مفهوم الدخل الشامل:</w:t>
      </w:r>
    </w:p>
    <w:p w14:paraId="03AE3617" w14:textId="644DE50E" w:rsidR="0056239C" w:rsidRPr="00E24FBE" w:rsidRDefault="0056239C" w:rsidP="00C85ED3">
      <w:pPr>
        <w:pStyle w:val="Heading1"/>
        <w:spacing w:before="0"/>
        <w:ind w:firstLine="0"/>
        <w:jc w:val="left"/>
        <w:rPr>
          <w:rFonts w:cs="Simplified Arabic"/>
          <w:b/>
          <w:bCs/>
          <w:color w:val="000000" w:themeColor="text1"/>
          <w:szCs w:val="26"/>
          <w:rtl/>
          <w:lang w:bidi="ar-EG"/>
        </w:rPr>
      </w:pPr>
      <w:r w:rsidRPr="00E24FBE">
        <w:rPr>
          <w:rFonts w:cs="Simplified Arabic" w:hint="cs"/>
          <w:b/>
          <w:bCs/>
          <w:color w:val="000000" w:themeColor="text1"/>
          <w:szCs w:val="26"/>
          <w:rtl/>
          <w:lang w:bidi="ar-EG"/>
        </w:rPr>
        <w:t>وقد تناولت العديد من الدراسات توضيح مفهوم الدخل الشامل ويمكن بيانها كما يلى:</w:t>
      </w:r>
    </w:p>
    <w:p w14:paraId="7E04D37C" w14:textId="4E20B16A" w:rsidR="0056239C" w:rsidRPr="00E24FBE" w:rsidRDefault="0056239C" w:rsidP="00C85ED3">
      <w:pPr>
        <w:spacing w:line="228" w:lineRule="auto"/>
        <w:ind w:firstLine="720"/>
        <w:jc w:val="lowKashida"/>
        <w:rPr>
          <w:color w:val="000000" w:themeColor="text1"/>
          <w:sz w:val="26"/>
          <w:szCs w:val="26"/>
          <w:rtl/>
          <w:lang w:bidi="ar-EG"/>
        </w:rPr>
      </w:pPr>
      <w:r w:rsidRPr="00E24FBE">
        <w:rPr>
          <w:rFonts w:hint="cs"/>
          <w:color w:val="000000" w:themeColor="text1"/>
          <w:sz w:val="26"/>
          <w:szCs w:val="26"/>
          <w:rtl/>
          <w:lang w:bidi="ar-EG"/>
        </w:rPr>
        <w:t xml:space="preserve"> عرف على (2019، ص 463) الدخل الشامل على أنه </w:t>
      </w:r>
      <w:r w:rsidRPr="00E24FBE">
        <w:rPr>
          <w:color w:val="000000" w:themeColor="text1"/>
          <w:sz w:val="26"/>
          <w:szCs w:val="26"/>
          <w:rtl/>
          <w:lang w:bidi="ar-EG"/>
        </w:rPr>
        <w:t>"</w:t>
      </w:r>
      <w:r w:rsidRPr="00E24FBE">
        <w:rPr>
          <w:rFonts w:hint="cs"/>
          <w:color w:val="000000" w:themeColor="text1"/>
          <w:sz w:val="26"/>
          <w:szCs w:val="26"/>
          <w:rtl/>
          <w:lang w:bidi="ar-EG"/>
        </w:rPr>
        <w:t xml:space="preserve">يضم كل التغيرات </w:t>
      </w:r>
      <w:proofErr w:type="spellStart"/>
      <w:r w:rsidRPr="00E24FBE">
        <w:rPr>
          <w:rFonts w:hint="cs"/>
          <w:color w:val="000000" w:themeColor="text1"/>
          <w:sz w:val="26"/>
          <w:szCs w:val="26"/>
          <w:rtl/>
          <w:lang w:bidi="ar-EG"/>
        </w:rPr>
        <w:t>فى</w:t>
      </w:r>
      <w:proofErr w:type="spellEnd"/>
      <w:r w:rsidRPr="00E24FBE">
        <w:rPr>
          <w:rFonts w:hint="cs"/>
          <w:color w:val="000000" w:themeColor="text1"/>
          <w:sz w:val="26"/>
          <w:szCs w:val="26"/>
          <w:rtl/>
          <w:lang w:bidi="ar-EG"/>
        </w:rPr>
        <w:t xml:space="preserve"> حقوق الملكية الناتجة عن جميع العمليات والأحداث العادية وغير العادية، المتكررة وغير المتكررة (باستثناء تلك المرتبطة باستثمارات وتوزيعات الملاك) بل ويتعدى مفهوم الدخل الشامل الدخل المحقق من مختلف المصادر ويتضمن أيضا العديد من بنود الدخل غير المحقق خلال الفترة</w:t>
      </w:r>
      <w:r w:rsidRPr="00E24FBE">
        <w:rPr>
          <w:color w:val="000000" w:themeColor="text1"/>
          <w:sz w:val="26"/>
          <w:szCs w:val="26"/>
          <w:rtl/>
          <w:lang w:bidi="ar-EG"/>
        </w:rPr>
        <w:t>"</w:t>
      </w:r>
      <w:r w:rsidRPr="00E24FBE">
        <w:rPr>
          <w:rFonts w:hint="cs"/>
          <w:color w:val="000000" w:themeColor="text1"/>
          <w:sz w:val="26"/>
          <w:szCs w:val="26"/>
          <w:rtl/>
          <w:lang w:bidi="ar-EG"/>
        </w:rPr>
        <w:t>.</w:t>
      </w:r>
    </w:p>
    <w:p w14:paraId="1A322E2A" w14:textId="5E5DF1D6" w:rsidR="0056239C" w:rsidRPr="00E24FBE" w:rsidRDefault="0056239C" w:rsidP="00C85ED3">
      <w:pPr>
        <w:spacing w:line="228" w:lineRule="auto"/>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وعرفه أيضاً كلا من عبده و </w:t>
      </w:r>
      <w:proofErr w:type="spellStart"/>
      <w:r w:rsidRPr="00E24FBE">
        <w:rPr>
          <w:rFonts w:hint="cs"/>
          <w:color w:val="000000" w:themeColor="text1"/>
          <w:sz w:val="26"/>
          <w:szCs w:val="26"/>
          <w:rtl/>
          <w:lang w:bidi="ar-EG"/>
        </w:rPr>
        <w:t>الرشيدى</w:t>
      </w:r>
      <w:proofErr w:type="spellEnd"/>
      <w:r w:rsidRPr="00E24FBE">
        <w:rPr>
          <w:rFonts w:hint="cs"/>
          <w:color w:val="000000" w:themeColor="text1"/>
          <w:sz w:val="26"/>
          <w:szCs w:val="26"/>
          <w:rtl/>
          <w:lang w:bidi="ar-EG"/>
        </w:rPr>
        <w:t xml:space="preserve"> (2023، ص 84) على أنه </w:t>
      </w:r>
      <w:r w:rsidRPr="00E24FBE">
        <w:rPr>
          <w:color w:val="000000" w:themeColor="text1"/>
          <w:sz w:val="26"/>
          <w:szCs w:val="26"/>
          <w:rtl/>
          <w:lang w:bidi="ar-EG"/>
        </w:rPr>
        <w:t>"</w:t>
      </w:r>
      <w:r w:rsidRPr="00E24FBE">
        <w:rPr>
          <w:rFonts w:hint="cs"/>
          <w:color w:val="000000" w:themeColor="text1"/>
          <w:sz w:val="26"/>
          <w:szCs w:val="26"/>
          <w:rtl/>
          <w:lang w:bidi="ar-EG"/>
        </w:rPr>
        <w:t>التغير في صافى أصول الوحدة الاقتصادية خلال الفترة المالية والناتج عن المعاملات والأحداث التي تمت من المصادر الأخرى وغير المرتبطة بالملاك، ويشمل كل من صافى الدخل التقليدي، وكافة التغيرات في حقوق الملكية ، بخلاف الناتجة عن الاستثمارات مع الملاك أو التوزيعات عليهم</w:t>
      </w:r>
      <w:r w:rsidRPr="00E24FBE">
        <w:rPr>
          <w:color w:val="000000" w:themeColor="text1"/>
          <w:sz w:val="26"/>
          <w:szCs w:val="26"/>
          <w:rtl/>
          <w:lang w:bidi="ar-EG"/>
        </w:rPr>
        <w:t>"</w:t>
      </w:r>
      <w:r w:rsidRPr="00E24FBE">
        <w:rPr>
          <w:rFonts w:hint="cs"/>
          <w:color w:val="000000" w:themeColor="text1"/>
          <w:sz w:val="26"/>
          <w:szCs w:val="26"/>
          <w:rtl/>
          <w:lang w:bidi="ar-EG"/>
        </w:rPr>
        <w:t xml:space="preserve">. </w:t>
      </w:r>
    </w:p>
    <w:p w14:paraId="13B13D5B" w14:textId="5F1ADE66" w:rsidR="00B20E50" w:rsidRPr="00E24FBE" w:rsidRDefault="00B20E50" w:rsidP="00C85ED3">
      <w:pPr>
        <w:spacing w:line="228" w:lineRule="auto"/>
        <w:ind w:firstLine="720"/>
        <w:jc w:val="lowKashida"/>
        <w:rPr>
          <w:color w:val="000000" w:themeColor="text1"/>
          <w:sz w:val="26"/>
          <w:szCs w:val="26"/>
          <w:lang w:bidi="ar-EG"/>
        </w:rPr>
      </w:pPr>
      <w:r w:rsidRPr="00E24FBE">
        <w:rPr>
          <w:rFonts w:hint="cs"/>
          <w:color w:val="000000" w:themeColor="text1"/>
          <w:sz w:val="26"/>
          <w:szCs w:val="26"/>
          <w:rtl/>
          <w:lang w:bidi="ar-EG"/>
        </w:rPr>
        <w:t>وأشار</w:t>
      </w:r>
      <w:r w:rsidRPr="00E24FBE">
        <w:rPr>
          <w:color w:val="000000" w:themeColor="text1"/>
          <w:sz w:val="26"/>
          <w:szCs w:val="26"/>
          <w:rtl/>
          <w:lang w:bidi="ar-EG"/>
        </w:rPr>
        <w:t xml:space="preserve"> </w:t>
      </w:r>
      <w:r w:rsidRPr="00E24FBE">
        <w:rPr>
          <w:color w:val="000000" w:themeColor="text1"/>
          <w:sz w:val="26"/>
          <w:szCs w:val="26"/>
        </w:rPr>
        <w:t>Park (2018, P 2</w:t>
      </w:r>
      <w:proofErr w:type="gramStart"/>
      <w:r w:rsidRPr="00E24FBE">
        <w:rPr>
          <w:color w:val="000000" w:themeColor="text1"/>
          <w:sz w:val="26"/>
          <w:szCs w:val="26"/>
        </w:rPr>
        <w:t>)</w:t>
      </w:r>
      <w:r w:rsidRPr="00E24FBE">
        <w:rPr>
          <w:color w:val="000000" w:themeColor="text1"/>
          <w:sz w:val="26"/>
          <w:szCs w:val="26"/>
          <w:vertAlign w:val="superscript"/>
          <w:rtl/>
          <w:lang w:bidi="ar-EG"/>
        </w:rPr>
        <w:t xml:space="preserve"> </w:t>
      </w:r>
      <w:r w:rsidRPr="00E24FBE">
        <w:rPr>
          <w:rFonts w:hint="cs"/>
          <w:color w:val="000000" w:themeColor="text1"/>
          <w:sz w:val="26"/>
          <w:szCs w:val="26"/>
          <w:rtl/>
          <w:lang w:bidi="ar-EG"/>
        </w:rPr>
        <w:t xml:space="preserve"> أيضاً</w:t>
      </w:r>
      <w:proofErr w:type="gramEnd"/>
      <w:r w:rsidRPr="00E24FBE">
        <w:rPr>
          <w:rFonts w:hint="cs"/>
          <w:color w:val="000000" w:themeColor="text1"/>
          <w:sz w:val="26"/>
          <w:szCs w:val="26"/>
          <w:rtl/>
          <w:lang w:bidi="ar-EG"/>
        </w:rPr>
        <w:t xml:space="preserve"> إلى أن الدخل الشامل </w:t>
      </w:r>
      <w:r w:rsidRPr="00E24FBE">
        <w:rPr>
          <w:color w:val="000000" w:themeColor="text1"/>
          <w:sz w:val="26"/>
          <w:szCs w:val="26"/>
          <w:rtl/>
          <w:lang w:bidi="ar-EG"/>
        </w:rPr>
        <w:t>"</w:t>
      </w:r>
      <w:r w:rsidRPr="00E24FBE">
        <w:rPr>
          <w:rFonts w:hint="cs"/>
          <w:color w:val="000000" w:themeColor="text1"/>
          <w:sz w:val="26"/>
          <w:szCs w:val="26"/>
          <w:rtl/>
          <w:lang w:bidi="ar-EG"/>
        </w:rPr>
        <w:t>يشمل جميع الإيرادات والمكاسب والمصروفات والخسائر المتكبدة خلال الفترة، بالإضافة إلى المكاسب والخسائر غير المحققة خلال الفترة المحاسبية الناتجة عن التقلبات في قيمة الأصول أو الالتزامات المحتفظ بها".</w:t>
      </w:r>
    </w:p>
    <w:p w14:paraId="530013AF" w14:textId="483241D7" w:rsidR="00B20E50" w:rsidRPr="00E24FBE" w:rsidRDefault="00B20E50" w:rsidP="00C85ED3">
      <w:pPr>
        <w:spacing w:line="216" w:lineRule="auto"/>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وفى ضوء ما سبق أن الدراسات التي تنولت مفهوم الدخل الشامل قد </w:t>
      </w:r>
      <w:proofErr w:type="spellStart"/>
      <w:r w:rsidRPr="00E24FBE">
        <w:rPr>
          <w:rFonts w:hint="cs"/>
          <w:color w:val="000000" w:themeColor="text1"/>
          <w:sz w:val="26"/>
          <w:szCs w:val="26"/>
          <w:rtl/>
          <w:lang w:bidi="ar-EG"/>
        </w:rPr>
        <w:t>أتفقت</w:t>
      </w:r>
      <w:proofErr w:type="spellEnd"/>
      <w:r w:rsidRPr="00E24FBE">
        <w:rPr>
          <w:rFonts w:hint="cs"/>
          <w:color w:val="000000" w:themeColor="text1"/>
          <w:sz w:val="26"/>
          <w:szCs w:val="26"/>
          <w:rtl/>
          <w:lang w:bidi="ar-EG"/>
        </w:rPr>
        <w:t xml:space="preserve"> على تعريفه بأنه التغير في حقوق الملكية خلال الفترة، والناتج عن المعاملات والأحداث والظروف الأخرى من مصادر غير الملاك بصفتهم هذه، وبالتالي يتضمن الدخل الشامل جميع التغيرات في حقوق الملكية خلال الفترة عدا التغيرات الناتجة عن الاستثمارات بواسطة الملاك والتوزيعات عليهم. كما اتفقت أيضاً على أن الدخل الشامل يتكون من جزئين هما صافى الدخل التقليدي الذى يتم الحصول عليه من قائمة الدخل والناتج عن عمليات المنشأة العادية والمتكررة، وبنود الدخل الشامل الآخر وهى عبارة عن المكاسب والخسائر التي تتجاوز صافى الدخل </w:t>
      </w:r>
      <w:proofErr w:type="spellStart"/>
      <w:r w:rsidRPr="00E24FBE">
        <w:rPr>
          <w:rFonts w:hint="cs"/>
          <w:color w:val="000000" w:themeColor="text1"/>
          <w:sz w:val="26"/>
          <w:szCs w:val="26"/>
          <w:rtl/>
          <w:lang w:bidi="ar-EG"/>
        </w:rPr>
        <w:t>والتى</w:t>
      </w:r>
      <w:proofErr w:type="spellEnd"/>
      <w:r w:rsidRPr="00E24FBE">
        <w:rPr>
          <w:rFonts w:hint="cs"/>
          <w:color w:val="000000" w:themeColor="text1"/>
          <w:sz w:val="26"/>
          <w:szCs w:val="26"/>
          <w:rtl/>
          <w:lang w:bidi="ar-EG"/>
        </w:rPr>
        <w:t xml:space="preserve"> تم الاعتراف بها ولكنها لم تتحقق بعد والتي تكون ناتجة عن التغيرات في القيمة العادلة لأصول وخصوم المنشأة.</w:t>
      </w:r>
    </w:p>
    <w:p w14:paraId="28A4FF9A" w14:textId="325C9B6E" w:rsidR="00B20E50" w:rsidRPr="00C85ED3" w:rsidRDefault="00B20E50" w:rsidP="00C85ED3">
      <w:pPr>
        <w:spacing w:line="216" w:lineRule="auto"/>
        <w:jc w:val="lowKashida"/>
        <w:rPr>
          <w:b/>
          <w:bCs/>
          <w:color w:val="000000" w:themeColor="text1"/>
          <w:rtl/>
          <w:lang w:bidi="ar-EG"/>
        </w:rPr>
      </w:pPr>
      <w:r w:rsidRPr="00C85ED3">
        <w:rPr>
          <w:rFonts w:hint="cs"/>
          <w:b/>
          <w:bCs/>
          <w:color w:val="000000" w:themeColor="text1"/>
          <w:rtl/>
          <w:lang w:bidi="ar-EG"/>
        </w:rPr>
        <w:t>2/2 مكونات الدخل الشامل:</w:t>
      </w:r>
    </w:p>
    <w:p w14:paraId="1EA1B851" w14:textId="77777777" w:rsidR="009A2AB3" w:rsidRPr="00E24FBE" w:rsidRDefault="009A2AB3" w:rsidP="00C85ED3">
      <w:pPr>
        <w:pStyle w:val="ListParagraph"/>
        <w:numPr>
          <w:ilvl w:val="0"/>
          <w:numId w:val="10"/>
        </w:numPr>
        <w:spacing w:line="216" w:lineRule="auto"/>
        <w:ind w:left="227" w:hanging="227"/>
        <w:contextualSpacing w:val="0"/>
        <w:jc w:val="lowKashida"/>
        <w:rPr>
          <w:color w:val="000000" w:themeColor="text1"/>
          <w:sz w:val="26"/>
          <w:szCs w:val="26"/>
          <w:rtl/>
          <w:lang w:bidi="ar-EG"/>
        </w:rPr>
      </w:pPr>
      <w:r w:rsidRPr="00E24FBE">
        <w:rPr>
          <w:rFonts w:hint="cs"/>
          <w:b/>
          <w:bCs/>
          <w:color w:val="000000" w:themeColor="text1"/>
          <w:sz w:val="26"/>
          <w:szCs w:val="26"/>
          <w:rtl/>
          <w:lang w:bidi="ar-EG"/>
        </w:rPr>
        <w:t xml:space="preserve">المكاسب والخسائر الناتجة عن إعادة تقييم الأصول المالية المتاحة للبيع: </w:t>
      </w:r>
      <w:proofErr w:type="spellStart"/>
      <w:r w:rsidRPr="00E24FBE">
        <w:rPr>
          <w:rFonts w:hint="cs"/>
          <w:color w:val="000000" w:themeColor="text1"/>
          <w:sz w:val="26"/>
          <w:szCs w:val="26"/>
          <w:rtl/>
          <w:lang w:bidi="ar-EG"/>
        </w:rPr>
        <w:t>هى</w:t>
      </w:r>
      <w:proofErr w:type="spellEnd"/>
      <w:r w:rsidRPr="00E24FBE">
        <w:rPr>
          <w:rFonts w:hint="cs"/>
          <w:color w:val="000000" w:themeColor="text1"/>
          <w:sz w:val="26"/>
          <w:szCs w:val="26"/>
          <w:rtl/>
          <w:lang w:bidi="ar-EG"/>
        </w:rPr>
        <w:t xml:space="preserve"> أصول مالية غير مشتقة مصنفة على أنها متاحة للبيع، يتم القياس </w:t>
      </w:r>
      <w:proofErr w:type="spellStart"/>
      <w:r w:rsidRPr="00E24FBE">
        <w:rPr>
          <w:rFonts w:hint="cs"/>
          <w:color w:val="000000" w:themeColor="text1"/>
          <w:sz w:val="26"/>
          <w:szCs w:val="26"/>
          <w:rtl/>
          <w:lang w:bidi="ar-EG"/>
        </w:rPr>
        <w:t>المبدئى</w:t>
      </w:r>
      <w:proofErr w:type="spellEnd"/>
      <w:r w:rsidRPr="00E24FBE">
        <w:rPr>
          <w:rFonts w:hint="cs"/>
          <w:color w:val="000000" w:themeColor="text1"/>
          <w:sz w:val="26"/>
          <w:szCs w:val="26"/>
          <w:rtl/>
          <w:lang w:bidi="ar-EG"/>
        </w:rPr>
        <w:t xml:space="preserve"> واللاحق </w:t>
      </w:r>
      <w:proofErr w:type="spellStart"/>
      <w:r w:rsidRPr="00E24FBE">
        <w:rPr>
          <w:rFonts w:hint="cs"/>
          <w:color w:val="000000" w:themeColor="text1"/>
          <w:sz w:val="26"/>
          <w:szCs w:val="26"/>
          <w:rtl/>
          <w:lang w:bidi="ar-EG"/>
        </w:rPr>
        <w:t>للإستثمارت</w:t>
      </w:r>
      <w:proofErr w:type="spellEnd"/>
      <w:r w:rsidRPr="00E24FBE">
        <w:rPr>
          <w:rFonts w:hint="cs"/>
          <w:color w:val="000000" w:themeColor="text1"/>
          <w:sz w:val="26"/>
          <w:szCs w:val="26"/>
          <w:rtl/>
          <w:lang w:bidi="ar-EG"/>
        </w:rPr>
        <w:t xml:space="preserve"> المالية المتاحة للبيع بالقيمة العادلة في تاريخ إعداد القوائم المالية، </w:t>
      </w:r>
      <w:proofErr w:type="spellStart"/>
      <w:r w:rsidRPr="00E24FBE">
        <w:rPr>
          <w:rFonts w:hint="cs"/>
          <w:color w:val="000000" w:themeColor="text1"/>
          <w:sz w:val="26"/>
          <w:szCs w:val="26"/>
          <w:rtl/>
          <w:lang w:bidi="ar-EG"/>
        </w:rPr>
        <w:t>وأى</w:t>
      </w:r>
      <w:proofErr w:type="spellEnd"/>
      <w:r w:rsidRPr="00E24FBE">
        <w:rPr>
          <w:rFonts w:hint="cs"/>
          <w:color w:val="000000" w:themeColor="text1"/>
          <w:sz w:val="26"/>
          <w:szCs w:val="26"/>
          <w:rtl/>
          <w:lang w:bidi="ar-EG"/>
        </w:rPr>
        <w:t xml:space="preserve"> زيادة في القيمة العادلة (مكاسب) أو نقص في هذه القيمة (خسائر) تعالج ضمن بنود الدخل الشامل الآخر.</w:t>
      </w:r>
    </w:p>
    <w:p w14:paraId="3D28AF6D" w14:textId="77777777" w:rsidR="009A2AB3" w:rsidRPr="00E24FBE" w:rsidRDefault="009A2AB3" w:rsidP="002209B2">
      <w:pPr>
        <w:pStyle w:val="ListParagraph"/>
        <w:numPr>
          <w:ilvl w:val="0"/>
          <w:numId w:val="10"/>
        </w:numPr>
        <w:ind w:left="227" w:hanging="227"/>
        <w:contextualSpacing w:val="0"/>
        <w:jc w:val="lowKashida"/>
        <w:rPr>
          <w:color w:val="000000" w:themeColor="text1"/>
          <w:sz w:val="26"/>
          <w:szCs w:val="26"/>
          <w:rtl/>
          <w:lang w:bidi="ar-EG"/>
        </w:rPr>
      </w:pPr>
      <w:r w:rsidRPr="00E24FBE">
        <w:rPr>
          <w:rFonts w:hint="cs"/>
          <w:b/>
          <w:bCs/>
          <w:color w:val="000000" w:themeColor="text1"/>
          <w:sz w:val="26"/>
          <w:szCs w:val="26"/>
          <w:rtl/>
          <w:lang w:bidi="ar-EG"/>
        </w:rPr>
        <w:t>الجزء الفعال من المكاسب والخسائر على أدوات التغطية المستخدمة في تحوط التدفقات النقدية:</w:t>
      </w:r>
      <w:r w:rsidRPr="00E24FBE">
        <w:rPr>
          <w:rFonts w:hint="cs"/>
          <w:color w:val="000000" w:themeColor="text1"/>
          <w:sz w:val="26"/>
          <w:szCs w:val="26"/>
          <w:rtl/>
          <w:lang w:bidi="ar-EG"/>
        </w:rPr>
        <w:t xml:space="preserve"> يقصد به التحوط ضد خطر التعرض للتقلبات في التدفقات النقدية والتي ترتبط بخطر محدد لأصل أو </w:t>
      </w:r>
      <w:proofErr w:type="spellStart"/>
      <w:r w:rsidRPr="00E24FBE">
        <w:rPr>
          <w:rFonts w:hint="cs"/>
          <w:color w:val="000000" w:themeColor="text1"/>
          <w:sz w:val="26"/>
          <w:szCs w:val="26"/>
          <w:rtl/>
          <w:lang w:bidi="ar-EG"/>
        </w:rPr>
        <w:t>إلتزام</w:t>
      </w:r>
      <w:proofErr w:type="spellEnd"/>
      <w:r w:rsidRPr="00E24FBE">
        <w:rPr>
          <w:rFonts w:hint="cs"/>
          <w:color w:val="000000" w:themeColor="text1"/>
          <w:sz w:val="26"/>
          <w:szCs w:val="26"/>
          <w:rtl/>
          <w:lang w:bidi="ar-EG"/>
        </w:rPr>
        <w:t xml:space="preserve"> معترف به، ويتم تقييم هذه الأدوات بالقيمة العادلة </w:t>
      </w:r>
      <w:proofErr w:type="spellStart"/>
      <w:r w:rsidRPr="00E24FBE">
        <w:rPr>
          <w:rFonts w:hint="cs"/>
          <w:color w:val="000000" w:themeColor="text1"/>
          <w:sz w:val="26"/>
          <w:szCs w:val="26"/>
          <w:rtl/>
          <w:lang w:bidi="ar-EG"/>
        </w:rPr>
        <w:t>وأى</w:t>
      </w:r>
      <w:proofErr w:type="spellEnd"/>
      <w:r w:rsidRPr="00E24FBE">
        <w:rPr>
          <w:rFonts w:hint="cs"/>
          <w:color w:val="000000" w:themeColor="text1"/>
          <w:sz w:val="26"/>
          <w:szCs w:val="26"/>
          <w:rtl/>
          <w:lang w:bidi="ar-EG"/>
        </w:rPr>
        <w:t xml:space="preserve"> فروق في القيمة العادلة عن التكلفة التاريخية سواء كانت مكاسب أو خسائر يتم الاعتراف بها ضمن بنود الدخل الشامل الآخر.</w:t>
      </w:r>
    </w:p>
    <w:p w14:paraId="5CDEC4AF" w14:textId="0013D7C9" w:rsidR="009A2AB3" w:rsidRPr="00E24FBE" w:rsidRDefault="009A2AB3" w:rsidP="002209B2">
      <w:pPr>
        <w:pStyle w:val="ListParagraph"/>
        <w:numPr>
          <w:ilvl w:val="0"/>
          <w:numId w:val="10"/>
        </w:numPr>
        <w:ind w:left="227" w:hanging="227"/>
        <w:contextualSpacing w:val="0"/>
        <w:jc w:val="lowKashida"/>
        <w:rPr>
          <w:color w:val="000000" w:themeColor="text1"/>
          <w:sz w:val="26"/>
          <w:szCs w:val="26"/>
          <w:rtl/>
          <w:lang w:bidi="ar-EG"/>
        </w:rPr>
      </w:pPr>
      <w:r w:rsidRPr="00E24FBE">
        <w:rPr>
          <w:rFonts w:hint="cs"/>
          <w:b/>
          <w:bCs/>
          <w:color w:val="000000" w:themeColor="text1"/>
          <w:sz w:val="26"/>
          <w:szCs w:val="26"/>
          <w:rtl/>
          <w:lang w:bidi="ar-EG"/>
        </w:rPr>
        <w:lastRenderedPageBreak/>
        <w:t xml:space="preserve">مكاسب أو خسائر ترجمة العملات الأجنبية: </w:t>
      </w:r>
      <w:r w:rsidRPr="00E24FBE">
        <w:rPr>
          <w:rFonts w:hint="cs"/>
          <w:color w:val="000000" w:themeColor="text1"/>
          <w:sz w:val="26"/>
          <w:szCs w:val="26"/>
          <w:rtl/>
          <w:lang w:bidi="ar-EG"/>
        </w:rPr>
        <w:t xml:space="preserve">تمثل المكاسب الزيادة في </w:t>
      </w:r>
      <w:proofErr w:type="gramStart"/>
      <w:r w:rsidRPr="00E24FBE">
        <w:rPr>
          <w:rFonts w:hint="cs"/>
          <w:color w:val="000000" w:themeColor="text1"/>
          <w:sz w:val="26"/>
          <w:szCs w:val="26"/>
          <w:rtl/>
          <w:lang w:bidi="ar-EG"/>
        </w:rPr>
        <w:t>صافى</w:t>
      </w:r>
      <w:proofErr w:type="gramEnd"/>
      <w:r w:rsidRPr="00E24FBE">
        <w:rPr>
          <w:rFonts w:hint="cs"/>
          <w:color w:val="000000" w:themeColor="text1"/>
          <w:sz w:val="26"/>
          <w:szCs w:val="26"/>
          <w:rtl/>
          <w:lang w:bidi="ar-EG"/>
        </w:rPr>
        <w:t xml:space="preserve"> أصول </w:t>
      </w:r>
      <w:r w:rsidR="005E407A" w:rsidRPr="00E24FBE">
        <w:rPr>
          <w:rFonts w:hint="cs"/>
          <w:color w:val="000000" w:themeColor="text1"/>
          <w:sz w:val="26"/>
          <w:szCs w:val="26"/>
          <w:rtl/>
          <w:lang w:bidi="ar-EG"/>
        </w:rPr>
        <w:t>المنشأة</w:t>
      </w:r>
      <w:r w:rsidRPr="00E24FBE">
        <w:rPr>
          <w:rFonts w:hint="cs"/>
          <w:color w:val="000000" w:themeColor="text1"/>
          <w:sz w:val="26"/>
          <w:szCs w:val="26"/>
          <w:rtl/>
          <w:lang w:bidi="ar-EG"/>
        </w:rPr>
        <w:t xml:space="preserve"> التابعة في الخارج نتيجة تحويل أرقامها المحاسبية من العملة الوظيفية إلى عملة بلد المنشأة الأم، أما الخسائر فتمثل النقص في صافى أصول المنشأة التابعة في الخارج.</w:t>
      </w:r>
    </w:p>
    <w:p w14:paraId="692C507A" w14:textId="77777777" w:rsidR="009A2AB3" w:rsidRPr="00E24FBE" w:rsidRDefault="009A2AB3" w:rsidP="002209B2">
      <w:pPr>
        <w:pStyle w:val="ListParagraph"/>
        <w:numPr>
          <w:ilvl w:val="0"/>
          <w:numId w:val="10"/>
        </w:numPr>
        <w:ind w:left="227" w:hanging="227"/>
        <w:contextualSpacing w:val="0"/>
        <w:jc w:val="lowKashida"/>
        <w:rPr>
          <w:color w:val="000000" w:themeColor="text1"/>
          <w:sz w:val="26"/>
          <w:szCs w:val="26"/>
          <w:lang w:bidi="ar-EG"/>
        </w:rPr>
      </w:pPr>
      <w:r w:rsidRPr="00E24FBE">
        <w:rPr>
          <w:rFonts w:hint="cs"/>
          <w:b/>
          <w:bCs/>
          <w:color w:val="000000" w:themeColor="text1"/>
          <w:sz w:val="26"/>
          <w:szCs w:val="26"/>
          <w:rtl/>
          <w:lang w:bidi="ar-EG"/>
        </w:rPr>
        <w:t xml:space="preserve">المكاسب والخسائر </w:t>
      </w:r>
      <w:proofErr w:type="spellStart"/>
      <w:r w:rsidRPr="00E24FBE">
        <w:rPr>
          <w:rFonts w:hint="cs"/>
          <w:b/>
          <w:bCs/>
          <w:color w:val="000000" w:themeColor="text1"/>
          <w:sz w:val="26"/>
          <w:szCs w:val="26"/>
          <w:rtl/>
          <w:lang w:bidi="ar-EG"/>
        </w:rPr>
        <w:t>الإكتوارية</w:t>
      </w:r>
      <w:proofErr w:type="spellEnd"/>
      <w:r w:rsidRPr="00E24FBE">
        <w:rPr>
          <w:rFonts w:hint="cs"/>
          <w:b/>
          <w:bCs/>
          <w:color w:val="000000" w:themeColor="text1"/>
          <w:sz w:val="26"/>
          <w:szCs w:val="26"/>
          <w:rtl/>
          <w:lang w:bidi="ar-EG"/>
        </w:rPr>
        <w:t xml:space="preserve"> على خطط منافع الموظفين</w:t>
      </w:r>
      <w:r w:rsidRPr="00E24FBE">
        <w:rPr>
          <w:rFonts w:hint="cs"/>
          <w:color w:val="000000" w:themeColor="text1"/>
          <w:sz w:val="26"/>
          <w:szCs w:val="26"/>
          <w:rtl/>
          <w:lang w:bidi="ar-EG"/>
        </w:rPr>
        <w:t xml:space="preserve">: تتمثل المكاسب والخسائر </w:t>
      </w:r>
      <w:proofErr w:type="spellStart"/>
      <w:r w:rsidRPr="00E24FBE">
        <w:rPr>
          <w:rFonts w:hint="cs"/>
          <w:color w:val="000000" w:themeColor="text1"/>
          <w:sz w:val="26"/>
          <w:szCs w:val="26"/>
          <w:rtl/>
          <w:lang w:bidi="ar-EG"/>
        </w:rPr>
        <w:t>الاكتوارية</w:t>
      </w:r>
      <w:proofErr w:type="spellEnd"/>
      <w:r w:rsidRPr="00E24FBE">
        <w:rPr>
          <w:rFonts w:hint="cs"/>
          <w:color w:val="000000" w:themeColor="text1"/>
          <w:sz w:val="26"/>
          <w:szCs w:val="26"/>
          <w:rtl/>
          <w:lang w:bidi="ar-EG"/>
        </w:rPr>
        <w:t xml:space="preserve"> في الفرق بين تقييم الالتزامات الناشئة عن خطط معاشات العاملين ذات المنافع المحددة، ويتم مقارنة هذا التقييم بالتقييم </w:t>
      </w:r>
      <w:proofErr w:type="spellStart"/>
      <w:r w:rsidRPr="00E24FBE">
        <w:rPr>
          <w:rFonts w:hint="cs"/>
          <w:color w:val="000000" w:themeColor="text1"/>
          <w:sz w:val="26"/>
          <w:szCs w:val="26"/>
          <w:rtl/>
          <w:lang w:bidi="ar-EG"/>
        </w:rPr>
        <w:t>الاكتوارى</w:t>
      </w:r>
      <w:proofErr w:type="spellEnd"/>
      <w:r w:rsidRPr="00E24FBE">
        <w:rPr>
          <w:rFonts w:hint="cs"/>
          <w:color w:val="000000" w:themeColor="text1"/>
          <w:sz w:val="26"/>
          <w:szCs w:val="26"/>
          <w:rtl/>
          <w:lang w:bidi="ar-EG"/>
        </w:rPr>
        <w:t xml:space="preserve"> </w:t>
      </w:r>
      <w:proofErr w:type="spellStart"/>
      <w:r w:rsidRPr="00E24FBE">
        <w:rPr>
          <w:rFonts w:hint="cs"/>
          <w:color w:val="000000" w:themeColor="text1"/>
          <w:sz w:val="26"/>
          <w:szCs w:val="26"/>
          <w:rtl/>
          <w:lang w:bidi="ar-EG"/>
        </w:rPr>
        <w:t>وأى</w:t>
      </w:r>
      <w:proofErr w:type="spellEnd"/>
      <w:r w:rsidRPr="00E24FBE">
        <w:rPr>
          <w:rFonts w:hint="cs"/>
          <w:color w:val="000000" w:themeColor="text1"/>
          <w:sz w:val="26"/>
          <w:szCs w:val="26"/>
          <w:rtl/>
          <w:lang w:bidi="ar-EG"/>
        </w:rPr>
        <w:t xml:space="preserve"> زيادة في التقييم </w:t>
      </w:r>
      <w:proofErr w:type="spellStart"/>
      <w:r w:rsidRPr="00E24FBE">
        <w:rPr>
          <w:rFonts w:hint="cs"/>
          <w:color w:val="000000" w:themeColor="text1"/>
          <w:sz w:val="26"/>
          <w:szCs w:val="26"/>
          <w:rtl/>
          <w:lang w:bidi="ar-EG"/>
        </w:rPr>
        <w:t>الاكتوارى</w:t>
      </w:r>
      <w:proofErr w:type="spellEnd"/>
      <w:r w:rsidRPr="00E24FBE">
        <w:rPr>
          <w:rFonts w:hint="cs"/>
          <w:color w:val="000000" w:themeColor="text1"/>
          <w:sz w:val="26"/>
          <w:szCs w:val="26"/>
          <w:rtl/>
          <w:lang w:bidi="ar-EG"/>
        </w:rPr>
        <w:t xml:space="preserve"> تُعتبر خسائر وأي نقص فيه يعتبر مكاسب وكلاهما يعالج ضمن بنود الدخل الشامل الآخر.</w:t>
      </w:r>
    </w:p>
    <w:p w14:paraId="64184F88" w14:textId="77777777" w:rsidR="009A2AB3" w:rsidRDefault="009A2AB3" w:rsidP="002209B2">
      <w:pPr>
        <w:pStyle w:val="ListParagraph"/>
        <w:numPr>
          <w:ilvl w:val="0"/>
          <w:numId w:val="10"/>
        </w:numPr>
        <w:ind w:left="227" w:hanging="227"/>
        <w:contextualSpacing w:val="0"/>
        <w:jc w:val="lowKashida"/>
        <w:rPr>
          <w:color w:val="000000" w:themeColor="text1"/>
          <w:sz w:val="26"/>
          <w:szCs w:val="26"/>
          <w:lang w:bidi="ar-EG"/>
        </w:rPr>
      </w:pPr>
      <w:r w:rsidRPr="00E24FBE">
        <w:rPr>
          <w:rFonts w:hint="cs"/>
          <w:b/>
          <w:bCs/>
          <w:color w:val="000000" w:themeColor="text1"/>
          <w:sz w:val="26"/>
          <w:szCs w:val="26"/>
          <w:rtl/>
          <w:lang w:bidi="ar-EG"/>
        </w:rPr>
        <w:t>فائض إعادة تقييم الأصول الثابتة والأصول غير الملموسة</w:t>
      </w:r>
      <w:r w:rsidRPr="00E24FBE">
        <w:rPr>
          <w:rFonts w:hint="cs"/>
          <w:color w:val="000000" w:themeColor="text1"/>
          <w:sz w:val="26"/>
          <w:szCs w:val="26"/>
          <w:rtl/>
          <w:lang w:bidi="ar-EG"/>
        </w:rPr>
        <w:t>: عند القياس اللاحق للأصول الثابتة والأصول غير الملموسة يجب على المنشأة أن تختار بين نموذج التكلفة ونموذج إعادة التقييم، وعند استخدام نموذج إعادة التقييم يجب أن يسجل الأصل بمبلغ إعادة التقييم وهو قيمته العادلة مطروحاً منه أي مجمع إهلاك لاحق وأي مجمع خسائر انخفاض في القيمة اللاحقة، وعندما تزداد القيمة الدفترية للأصل نتيجة لإعادة التقييم فإن الزيادة يعترف بها ضمن بنود الدخل الشامل الآخر.</w:t>
      </w:r>
    </w:p>
    <w:p w14:paraId="2595A611" w14:textId="7F4C72EF" w:rsidR="00357A76" w:rsidRPr="00C85ED3" w:rsidRDefault="00DD0DBF" w:rsidP="00C85ED3">
      <w:pPr>
        <w:spacing w:before="120"/>
        <w:jc w:val="lowKashida"/>
        <w:rPr>
          <w:b/>
          <w:bCs/>
          <w:color w:val="000000" w:themeColor="text1"/>
          <w:rtl/>
          <w:lang w:bidi="ar-EG"/>
        </w:rPr>
      </w:pPr>
      <w:r w:rsidRPr="00C85ED3">
        <w:rPr>
          <w:rFonts w:hint="cs"/>
          <w:b/>
          <w:bCs/>
          <w:color w:val="000000" w:themeColor="text1"/>
          <w:rtl/>
          <w:lang w:bidi="ar-EG"/>
        </w:rPr>
        <w:t xml:space="preserve">3/ أهمية وبدائل الإفصاح </w:t>
      </w:r>
      <w:proofErr w:type="spellStart"/>
      <w:r w:rsidRPr="00C85ED3">
        <w:rPr>
          <w:rFonts w:hint="cs"/>
          <w:b/>
          <w:bCs/>
          <w:color w:val="000000" w:themeColor="text1"/>
          <w:rtl/>
          <w:lang w:bidi="ar-EG"/>
        </w:rPr>
        <w:t>المحاسبى</w:t>
      </w:r>
      <w:proofErr w:type="spellEnd"/>
      <w:r w:rsidRPr="00C85ED3">
        <w:rPr>
          <w:rFonts w:hint="cs"/>
          <w:b/>
          <w:bCs/>
          <w:color w:val="000000" w:themeColor="text1"/>
          <w:rtl/>
          <w:lang w:bidi="ar-EG"/>
        </w:rPr>
        <w:t xml:space="preserve"> عن الدخل الشامل وفقاً للإصدارات المهنية:</w:t>
      </w:r>
    </w:p>
    <w:p w14:paraId="5A320533" w14:textId="40967336" w:rsidR="00B20E50" w:rsidRPr="00C85ED3" w:rsidRDefault="00DD0DBF" w:rsidP="00A945B2">
      <w:pPr>
        <w:jc w:val="lowKashida"/>
        <w:rPr>
          <w:b/>
          <w:bCs/>
          <w:color w:val="000000" w:themeColor="text1"/>
          <w:rtl/>
          <w:lang w:bidi="ar-EG"/>
        </w:rPr>
      </w:pPr>
      <w:r w:rsidRPr="00C85ED3">
        <w:rPr>
          <w:rFonts w:hint="cs"/>
          <w:b/>
          <w:bCs/>
          <w:color w:val="000000" w:themeColor="text1"/>
          <w:rtl/>
          <w:lang w:bidi="ar-EG"/>
        </w:rPr>
        <w:t xml:space="preserve">3/1 </w:t>
      </w:r>
      <w:r w:rsidR="009A2AB3" w:rsidRPr="00C85ED3">
        <w:rPr>
          <w:rFonts w:hint="cs"/>
          <w:b/>
          <w:bCs/>
          <w:color w:val="000000" w:themeColor="text1"/>
          <w:rtl/>
          <w:lang w:bidi="ar-EG"/>
        </w:rPr>
        <w:t xml:space="preserve"> أهمية الإفصاح </w:t>
      </w:r>
      <w:proofErr w:type="spellStart"/>
      <w:r w:rsidR="009A2AB3" w:rsidRPr="00C85ED3">
        <w:rPr>
          <w:rFonts w:hint="cs"/>
          <w:b/>
          <w:bCs/>
          <w:color w:val="000000" w:themeColor="text1"/>
          <w:rtl/>
          <w:lang w:bidi="ar-EG"/>
        </w:rPr>
        <w:t>المحاسبى</w:t>
      </w:r>
      <w:proofErr w:type="spellEnd"/>
      <w:r w:rsidR="009A2AB3" w:rsidRPr="00C85ED3">
        <w:rPr>
          <w:rFonts w:hint="cs"/>
          <w:b/>
          <w:bCs/>
          <w:color w:val="000000" w:themeColor="text1"/>
          <w:rtl/>
          <w:lang w:bidi="ar-EG"/>
        </w:rPr>
        <w:t xml:space="preserve"> عن الدخل الشامل:</w:t>
      </w:r>
    </w:p>
    <w:p w14:paraId="308C63F7" w14:textId="0FB52D5A" w:rsidR="009A2AB3" w:rsidRPr="00E24FBE" w:rsidRDefault="009A2AB3" w:rsidP="00C24E42">
      <w:pPr>
        <w:ind w:firstLine="720"/>
        <w:jc w:val="lowKashida"/>
        <w:rPr>
          <w:color w:val="000000" w:themeColor="text1"/>
          <w:sz w:val="26"/>
          <w:szCs w:val="26"/>
          <w:rtl/>
          <w:lang w:bidi="ar-EG"/>
        </w:rPr>
      </w:pPr>
      <w:r w:rsidRPr="00E24FBE">
        <w:rPr>
          <w:rFonts w:hint="cs"/>
          <w:color w:val="000000" w:themeColor="text1"/>
          <w:sz w:val="26"/>
          <w:szCs w:val="26"/>
          <w:rtl/>
          <w:lang w:bidi="ar-EG"/>
        </w:rPr>
        <w:t xml:space="preserve">اختلفت الآراء حول أهمية الإفصاح </w:t>
      </w:r>
      <w:proofErr w:type="spellStart"/>
      <w:r w:rsidRPr="00E24FBE">
        <w:rPr>
          <w:rFonts w:hint="cs"/>
          <w:color w:val="000000" w:themeColor="text1"/>
          <w:sz w:val="26"/>
          <w:szCs w:val="26"/>
          <w:rtl/>
          <w:lang w:bidi="ar-EG"/>
        </w:rPr>
        <w:t>المحاسبى</w:t>
      </w:r>
      <w:proofErr w:type="spellEnd"/>
      <w:r w:rsidRPr="00E24FBE">
        <w:rPr>
          <w:rFonts w:hint="cs"/>
          <w:color w:val="000000" w:themeColor="text1"/>
          <w:sz w:val="26"/>
          <w:szCs w:val="26"/>
          <w:rtl/>
          <w:lang w:bidi="ar-EG"/>
        </w:rPr>
        <w:t xml:space="preserve"> عن الدخل الشامل بين المؤيدين والمعارضين, فقد أشارت </w:t>
      </w:r>
      <w:r w:rsidRPr="00E24FBE">
        <w:rPr>
          <w:color w:val="000000" w:themeColor="text1"/>
          <w:sz w:val="26"/>
          <w:szCs w:val="26"/>
          <w:lang w:bidi="ar-EG"/>
        </w:rPr>
        <w:t>chambers, et al. (2007, p 561)</w:t>
      </w:r>
      <w:r w:rsidRPr="00E24FBE">
        <w:rPr>
          <w:rFonts w:hint="cs"/>
          <w:color w:val="000000" w:themeColor="text1"/>
          <w:sz w:val="26"/>
          <w:szCs w:val="26"/>
          <w:vertAlign w:val="superscript"/>
          <w:rtl/>
          <w:lang w:bidi="ar-EG"/>
        </w:rPr>
        <w:t xml:space="preserve"> </w:t>
      </w:r>
      <w:r w:rsidRPr="00E24FBE">
        <w:rPr>
          <w:rFonts w:hint="cs"/>
          <w:color w:val="000000" w:themeColor="text1"/>
          <w:sz w:val="26"/>
          <w:szCs w:val="26"/>
          <w:rtl/>
          <w:lang w:bidi="ar-EG"/>
        </w:rPr>
        <w:t>إلى أن مؤيدو الإفصاح عن الدخل الشامل قدموا عدداً من الحجج تتمثل في: أن الدخل الشامل يوضح جميع مصادر خلق القيمة، كما أنه يميز بشكل مناسب بين خلق القيمة وتوزيع القيمة، كما أنه يفرض الانضباط على المديرين والمحللين الماليين حيث تتطلب أنظمة المكافآت على أساس الدخل الشامل من المديرين مراعاة جميع العوامل التي تؤثر على القيمة مما يجعل من الصعوبة إدارة الأرباح، ومن ناحية أخرى فإن مطالبة المحللين الماليين بتوقع الدخل الشامل سوف يشجع على النظر إلى جميع العوامل الملائمة للتنبؤ بالأرباح.</w:t>
      </w:r>
    </w:p>
    <w:p w14:paraId="14E3C6B7" w14:textId="0EC1086F" w:rsidR="009A2AB3" w:rsidRPr="00E24FBE" w:rsidRDefault="009A2AB3" w:rsidP="00C24E42">
      <w:pPr>
        <w:ind w:firstLine="720"/>
        <w:jc w:val="lowKashida"/>
        <w:rPr>
          <w:color w:val="000000" w:themeColor="text1"/>
          <w:sz w:val="26"/>
          <w:szCs w:val="26"/>
          <w:vertAlign w:val="superscript"/>
          <w:rtl/>
          <w:lang w:bidi="ar-EG"/>
        </w:rPr>
      </w:pPr>
      <w:r w:rsidRPr="00E24FBE">
        <w:rPr>
          <w:rFonts w:hint="cs"/>
          <w:color w:val="000000" w:themeColor="text1"/>
          <w:sz w:val="26"/>
          <w:szCs w:val="26"/>
          <w:rtl/>
          <w:lang w:bidi="ar-EG"/>
        </w:rPr>
        <w:t xml:space="preserve">كما أشار </w:t>
      </w:r>
      <w:r w:rsidRPr="00E24FBE">
        <w:rPr>
          <w:color w:val="000000" w:themeColor="text1"/>
          <w:sz w:val="26"/>
          <w:szCs w:val="26"/>
          <w:lang w:bidi="ar-EG"/>
        </w:rPr>
        <w:t>Lin and Rong (2012, p 96)</w:t>
      </w:r>
      <w:r w:rsidRPr="00E24FBE">
        <w:rPr>
          <w:rFonts w:hint="cs"/>
          <w:color w:val="000000" w:themeColor="text1"/>
          <w:sz w:val="26"/>
          <w:szCs w:val="26"/>
          <w:rtl/>
          <w:lang w:bidi="ar-EG"/>
        </w:rPr>
        <w:t xml:space="preserve"> إلى أن الإفصاح عن بنود الدخل الشامل الآخر قد زاد من شفافية المعلومات المحاسبية وهو ما أدى إلى التخفيض من عدم تماثل المعلومات بين كل من المستثمرين والمديرين حول الأداء </w:t>
      </w:r>
      <w:proofErr w:type="spellStart"/>
      <w:r w:rsidRPr="00E24FBE">
        <w:rPr>
          <w:rFonts w:hint="cs"/>
          <w:color w:val="000000" w:themeColor="text1"/>
          <w:sz w:val="26"/>
          <w:szCs w:val="26"/>
          <w:rtl/>
          <w:lang w:bidi="ar-EG"/>
        </w:rPr>
        <w:t>التشغيلى</w:t>
      </w:r>
      <w:proofErr w:type="spellEnd"/>
      <w:r w:rsidRPr="00E24FBE">
        <w:rPr>
          <w:rFonts w:hint="cs"/>
          <w:color w:val="000000" w:themeColor="text1"/>
          <w:sz w:val="26"/>
          <w:szCs w:val="26"/>
          <w:rtl/>
          <w:lang w:bidi="ar-EG"/>
        </w:rPr>
        <w:t xml:space="preserve"> للمنشأة، وهو ما ينعكس على الحد من إدارة الأرباح وبالتالي زيادة فهم المستثمرين للأداء المالي للمنشأة.</w:t>
      </w:r>
    </w:p>
    <w:p w14:paraId="014B05A5" w14:textId="3BCF9897" w:rsidR="009A2AB3" w:rsidRPr="00E24FBE" w:rsidRDefault="009A2AB3" w:rsidP="00C24E42">
      <w:pPr>
        <w:ind w:firstLine="720"/>
        <w:jc w:val="lowKashida"/>
        <w:rPr>
          <w:color w:val="000000" w:themeColor="text1"/>
          <w:sz w:val="26"/>
          <w:szCs w:val="26"/>
          <w:vertAlign w:val="superscript"/>
          <w:rtl/>
          <w:lang w:bidi="ar-EG"/>
        </w:rPr>
      </w:pPr>
      <w:r w:rsidRPr="00E24FBE">
        <w:rPr>
          <w:rFonts w:hint="cs"/>
          <w:color w:val="000000" w:themeColor="text1"/>
          <w:sz w:val="26"/>
          <w:szCs w:val="26"/>
          <w:rtl/>
          <w:lang w:bidi="ar-EG"/>
        </w:rPr>
        <w:t xml:space="preserve"> وهو ما أكدته دراسة </w:t>
      </w:r>
      <w:r w:rsidRPr="00E24FBE">
        <w:rPr>
          <w:color w:val="000000" w:themeColor="text1"/>
          <w:sz w:val="26"/>
          <w:szCs w:val="26"/>
          <w:lang w:bidi="ar-EG"/>
        </w:rPr>
        <w:t>(Marchini and</w:t>
      </w:r>
      <w:r w:rsidRPr="00E24FBE">
        <w:rPr>
          <w:color w:val="000000" w:themeColor="text1"/>
          <w:sz w:val="26"/>
          <w:szCs w:val="26"/>
          <w:lang w:val="nl-NL"/>
        </w:rPr>
        <w:t xml:space="preserve"> D’Este, 2015, p 1725</w:t>
      </w:r>
      <w:r w:rsidRPr="00E24FBE">
        <w:rPr>
          <w:color w:val="000000" w:themeColor="text1"/>
          <w:sz w:val="26"/>
          <w:szCs w:val="26"/>
        </w:rPr>
        <w:t>)</w:t>
      </w:r>
      <w:r w:rsidRPr="00E24FBE">
        <w:rPr>
          <w:color w:val="000000" w:themeColor="text1"/>
          <w:sz w:val="26"/>
          <w:szCs w:val="26"/>
          <w:rtl/>
          <w:lang w:bidi="ar-EG"/>
        </w:rPr>
        <w:t xml:space="preserve"> </w:t>
      </w:r>
      <w:r w:rsidRPr="00E24FBE">
        <w:rPr>
          <w:rStyle w:val="FootnoteReference"/>
          <w:rFonts w:hint="cs"/>
          <w:color w:val="000000" w:themeColor="text1"/>
          <w:sz w:val="26"/>
          <w:szCs w:val="26"/>
          <w:rtl/>
          <w:lang w:bidi="ar-EG"/>
        </w:rPr>
        <w:t xml:space="preserve"> </w:t>
      </w:r>
      <w:r w:rsidRPr="00E24FBE">
        <w:rPr>
          <w:rFonts w:hint="cs"/>
          <w:color w:val="000000" w:themeColor="text1"/>
          <w:sz w:val="26"/>
          <w:szCs w:val="26"/>
          <w:rtl/>
          <w:lang w:bidi="ar-EG"/>
        </w:rPr>
        <w:t>حيث أشارت إلى أن المستثمرين الحاليين والمحتملين</w:t>
      </w:r>
      <w:r w:rsidRPr="00E24FBE">
        <w:rPr>
          <w:rFonts w:hint="cs"/>
          <w:b/>
          <w:bCs/>
          <w:color w:val="000000" w:themeColor="text1"/>
          <w:sz w:val="26"/>
          <w:szCs w:val="26"/>
          <w:rtl/>
          <w:lang w:bidi="ar-EG"/>
        </w:rPr>
        <w:t xml:space="preserve"> </w:t>
      </w:r>
      <w:r w:rsidRPr="00E24FBE">
        <w:rPr>
          <w:rFonts w:hint="cs"/>
          <w:color w:val="000000" w:themeColor="text1"/>
          <w:sz w:val="26"/>
          <w:szCs w:val="26"/>
          <w:rtl/>
          <w:lang w:bidi="ar-EG"/>
        </w:rPr>
        <w:t xml:space="preserve">يهتمون بالمخاطر الكامنة من استثماراتهم والعائد الذى توفره، فهم بحاجة إلى معلومات تمكنهم من تقييم أداء المنشآت المستقبلي والتنبؤ به، ولأن الدخل الشامل يأخذ في الاعتبار التغيرات في القيمة العادلة للأصول والخصوم خلال فترة التقرير وبالتالي فإنه يزيد من قدرة المنشأة على </w:t>
      </w:r>
      <w:r w:rsidRPr="00E24FBE">
        <w:rPr>
          <w:rFonts w:hint="cs"/>
          <w:color w:val="000000" w:themeColor="text1"/>
          <w:sz w:val="26"/>
          <w:szCs w:val="26"/>
          <w:rtl/>
          <w:lang w:bidi="ar-EG"/>
        </w:rPr>
        <w:lastRenderedPageBreak/>
        <w:t>توليد تدفقات نقدية في المستقبل، علاوة على ذلك فإنه يتوافق مع نظرية محاسبة الفائض النظيف والذى بموجبه يتم تحديد الربح من خلال مقارنة القيمة الدفترية لحقوق الملكية في نهاية الفترة والقيمة الدفترية لحقوق الملكية في بداية الفترة، بخلاف المعاملات مع الملاك.</w:t>
      </w:r>
    </w:p>
    <w:p w14:paraId="36243008" w14:textId="3448979D" w:rsidR="009A2AB3" w:rsidRPr="00E24FBE" w:rsidRDefault="009A2AB3" w:rsidP="00C24E42">
      <w:pPr>
        <w:ind w:firstLine="720"/>
        <w:jc w:val="lowKashida"/>
        <w:rPr>
          <w:color w:val="000000" w:themeColor="text1"/>
          <w:sz w:val="26"/>
          <w:szCs w:val="26"/>
          <w:lang w:bidi="ar-EG"/>
        </w:rPr>
      </w:pPr>
      <w:r w:rsidRPr="00E24FBE">
        <w:rPr>
          <w:rFonts w:hint="cs"/>
          <w:color w:val="000000" w:themeColor="text1"/>
          <w:sz w:val="26"/>
          <w:szCs w:val="26"/>
          <w:rtl/>
          <w:lang w:bidi="ar-EG"/>
        </w:rPr>
        <w:t xml:space="preserve">ورأى أيضاً </w:t>
      </w:r>
      <w:proofErr w:type="spellStart"/>
      <w:r w:rsidRPr="00E24FBE">
        <w:rPr>
          <w:color w:val="000000" w:themeColor="text1"/>
          <w:sz w:val="26"/>
          <w:szCs w:val="26"/>
          <w:lang w:bidi="ar-EG"/>
        </w:rPr>
        <w:t>Sainog</w:t>
      </w:r>
      <w:proofErr w:type="spellEnd"/>
      <w:r w:rsidRPr="00E24FBE">
        <w:rPr>
          <w:color w:val="000000" w:themeColor="text1"/>
          <w:sz w:val="26"/>
          <w:szCs w:val="26"/>
          <w:lang w:bidi="ar-EG"/>
        </w:rPr>
        <w:t xml:space="preserve"> and </w:t>
      </w:r>
      <w:proofErr w:type="spellStart"/>
      <w:r w:rsidRPr="00E24FBE">
        <w:rPr>
          <w:color w:val="000000" w:themeColor="text1"/>
          <w:sz w:val="26"/>
          <w:szCs w:val="26"/>
          <w:lang w:bidi="ar-EG"/>
        </w:rPr>
        <w:t>Sosnowski</w:t>
      </w:r>
      <w:proofErr w:type="spellEnd"/>
      <w:r w:rsidRPr="00E24FBE">
        <w:rPr>
          <w:color w:val="000000" w:themeColor="text1"/>
          <w:sz w:val="26"/>
          <w:szCs w:val="26"/>
          <w:lang w:bidi="ar-EG"/>
        </w:rPr>
        <w:t xml:space="preserve"> (2018, p 127)</w:t>
      </w:r>
      <w:r w:rsidRPr="00E24FBE">
        <w:rPr>
          <w:color w:val="000000" w:themeColor="text1"/>
          <w:sz w:val="26"/>
          <w:szCs w:val="26"/>
          <w:vertAlign w:val="superscript"/>
          <w:rtl/>
          <w:lang w:bidi="ar-EG"/>
        </w:rPr>
        <w:t xml:space="preserve"> </w:t>
      </w:r>
      <w:r w:rsidRPr="00E24FBE">
        <w:rPr>
          <w:rFonts w:hint="cs"/>
          <w:color w:val="000000" w:themeColor="text1"/>
          <w:sz w:val="26"/>
          <w:szCs w:val="26"/>
          <w:rtl/>
          <w:lang w:bidi="ar-EG"/>
        </w:rPr>
        <w:t xml:space="preserve"> أن نطاق الدخل الشامل أكبر بكثير من صافى الدخل التقليدي، وذلك لأنه يتضمن العديد من العناصر المهمة التي تؤثر على الربح المستقبلي للمنشآت والتي تم حذفها من قائمة الدخل التقليدي، مما يعيق بشكل كبير إجراءات المديرين الهادفة للإدارة الفعالة للأرباح عن طريق الاستحقاقات الاختيارية، حيث يمكن </w:t>
      </w:r>
      <w:proofErr w:type="spellStart"/>
      <w:r w:rsidRPr="00E24FBE">
        <w:rPr>
          <w:rFonts w:hint="cs"/>
          <w:color w:val="000000" w:themeColor="text1"/>
          <w:sz w:val="26"/>
          <w:szCs w:val="26"/>
          <w:rtl/>
          <w:lang w:bidi="ar-EG"/>
        </w:rPr>
        <w:t>مستخدمى</w:t>
      </w:r>
      <w:proofErr w:type="spellEnd"/>
      <w:r w:rsidRPr="00E24FBE">
        <w:rPr>
          <w:rFonts w:hint="cs"/>
          <w:color w:val="000000" w:themeColor="text1"/>
          <w:sz w:val="26"/>
          <w:szCs w:val="26"/>
          <w:rtl/>
          <w:lang w:bidi="ar-EG"/>
        </w:rPr>
        <w:t xml:space="preserve"> المعلومات المالية من فحص المحددات الداخلية والخارجية لكفاءة المنشأة بشكل كامل ودقيق، وبالتالي فإنه يزيد من انضباط المديرين في إعداد التقارير المالية.</w:t>
      </w:r>
    </w:p>
    <w:p w14:paraId="0091D217" w14:textId="4BD30EA4" w:rsidR="009A2AB3" w:rsidRPr="00C85ED3" w:rsidRDefault="009A2AB3" w:rsidP="00C24E42">
      <w:pPr>
        <w:ind w:firstLine="720"/>
        <w:jc w:val="lowKashida"/>
        <w:rPr>
          <w:color w:val="000000" w:themeColor="text1"/>
          <w:spacing w:val="-4"/>
          <w:sz w:val="26"/>
          <w:szCs w:val="26"/>
          <w:lang w:bidi="ar-EG"/>
        </w:rPr>
      </w:pPr>
      <w:r w:rsidRPr="00C85ED3">
        <w:rPr>
          <w:rFonts w:hint="cs"/>
          <w:color w:val="000000" w:themeColor="text1"/>
          <w:spacing w:val="-4"/>
          <w:sz w:val="26"/>
          <w:szCs w:val="26"/>
          <w:rtl/>
          <w:lang w:bidi="ar-EG"/>
        </w:rPr>
        <w:t xml:space="preserve">كما أوضحت دراسة </w:t>
      </w:r>
      <w:r w:rsidRPr="00C85ED3">
        <w:rPr>
          <w:color w:val="000000" w:themeColor="text1"/>
          <w:spacing w:val="-4"/>
          <w:sz w:val="26"/>
          <w:szCs w:val="26"/>
          <w:lang w:bidi="ar-EG"/>
        </w:rPr>
        <w:t>(Kusuma, 2021, p 104)</w:t>
      </w:r>
      <w:r w:rsidRPr="00C85ED3">
        <w:rPr>
          <w:rFonts w:hint="cs"/>
          <w:color w:val="000000" w:themeColor="text1"/>
          <w:spacing w:val="-4"/>
          <w:sz w:val="26"/>
          <w:szCs w:val="26"/>
          <w:rtl/>
          <w:lang w:bidi="ar-EG"/>
        </w:rPr>
        <w:t xml:space="preserve"> أن الدخل الشامل أكثر تمثيلاً للظروف الفعلية خاصة في ظل جائحة كورونا </w:t>
      </w:r>
      <w:r w:rsidRPr="00C85ED3">
        <w:rPr>
          <w:color w:val="000000" w:themeColor="text1"/>
          <w:spacing w:val="-4"/>
          <w:sz w:val="26"/>
          <w:szCs w:val="26"/>
          <w:lang w:bidi="ar-EG"/>
        </w:rPr>
        <w:t>COVID-19</w:t>
      </w:r>
      <w:r w:rsidRPr="00C85ED3">
        <w:rPr>
          <w:rFonts w:hint="cs"/>
          <w:color w:val="000000" w:themeColor="text1"/>
          <w:spacing w:val="-4"/>
          <w:sz w:val="26"/>
          <w:szCs w:val="26"/>
          <w:rtl/>
          <w:lang w:bidi="ar-EG"/>
        </w:rPr>
        <w:t>، لأنه يتضمن البيئة الخارجية التي تواجه المنشأة حيث يشمل الدخل الشامل كل من صافى الدخل وبنود الدخل الشامل الآخر الناتجة</w:t>
      </w:r>
      <w:r w:rsidRPr="00C85ED3">
        <w:rPr>
          <w:color w:val="000000" w:themeColor="text1"/>
          <w:spacing w:val="-4"/>
          <w:sz w:val="26"/>
          <w:szCs w:val="26"/>
          <w:lang w:bidi="ar-EG"/>
        </w:rPr>
        <w:t xml:space="preserve"> </w:t>
      </w:r>
      <w:r w:rsidRPr="00C85ED3">
        <w:rPr>
          <w:rFonts w:hint="cs"/>
          <w:color w:val="000000" w:themeColor="text1"/>
          <w:spacing w:val="-4"/>
          <w:sz w:val="26"/>
          <w:szCs w:val="26"/>
          <w:rtl/>
          <w:lang w:bidi="ar-EG"/>
        </w:rPr>
        <w:t>عن عوامل الاقتصاد الكلى مثل أسعار الصرف والتضخم وأسعار الفائدة ومناخ سوق رأس المال والتي تؤثر على القيمة العادلة للأصول والخصوم.</w:t>
      </w:r>
    </w:p>
    <w:p w14:paraId="5B1B7E44" w14:textId="35DB4EB1" w:rsidR="009A2AB3" w:rsidRPr="00E24FBE" w:rsidRDefault="009A2AB3" w:rsidP="006C01C2">
      <w:pPr>
        <w:spacing w:line="228" w:lineRule="auto"/>
        <w:ind w:firstLine="720"/>
        <w:jc w:val="mediumKashida"/>
        <w:rPr>
          <w:color w:val="000000" w:themeColor="text1"/>
          <w:spacing w:val="-4"/>
          <w:sz w:val="26"/>
          <w:szCs w:val="26"/>
          <w:lang w:bidi="ar-EG"/>
        </w:rPr>
      </w:pPr>
      <w:r w:rsidRPr="00E24FBE">
        <w:rPr>
          <w:rFonts w:hint="cs"/>
          <w:color w:val="000000" w:themeColor="text1"/>
          <w:spacing w:val="-4"/>
          <w:sz w:val="26"/>
          <w:szCs w:val="26"/>
          <w:rtl/>
          <w:lang w:bidi="ar-EG"/>
        </w:rPr>
        <w:t xml:space="preserve">وعلى الرغم من المزايا التي يحققها الإفصاح عن الدخل الشامل إلا أن هناك من يعارض استخدامه في تقييم الأداء المالي للمنشآت حيث خلصت دراسة كل من </w:t>
      </w:r>
      <w:r w:rsidRPr="00E24FBE">
        <w:rPr>
          <w:color w:val="000000" w:themeColor="text1"/>
          <w:spacing w:val="-4"/>
          <w:sz w:val="26"/>
          <w:szCs w:val="26"/>
          <w:lang w:bidi="ar-EG"/>
        </w:rPr>
        <w:t>(Chambers, et al., 2007, p 561)</w:t>
      </w:r>
      <w:r w:rsidRPr="00E24FBE">
        <w:rPr>
          <w:rFonts w:hint="cs"/>
          <w:color w:val="000000" w:themeColor="text1"/>
          <w:spacing w:val="-4"/>
          <w:sz w:val="26"/>
          <w:szCs w:val="26"/>
          <w:rtl/>
          <w:lang w:bidi="ar-EG"/>
        </w:rPr>
        <w:t xml:space="preserve">، </w:t>
      </w:r>
      <w:r w:rsidRPr="00E24FBE">
        <w:rPr>
          <w:color w:val="000000" w:themeColor="text1"/>
          <w:spacing w:val="-4"/>
          <w:sz w:val="26"/>
          <w:szCs w:val="26"/>
          <w:lang w:bidi="ar-EG"/>
        </w:rPr>
        <w:t>(Veltri and Ferraro, 2018, p 18)</w:t>
      </w:r>
      <w:r w:rsidRPr="00E24FBE">
        <w:rPr>
          <w:color w:val="000000" w:themeColor="text1"/>
          <w:spacing w:val="-4"/>
          <w:sz w:val="26"/>
          <w:szCs w:val="26"/>
          <w:vertAlign w:val="superscript"/>
          <w:rtl/>
          <w:lang w:bidi="ar-EG"/>
        </w:rPr>
        <w:t xml:space="preserve"> </w:t>
      </w:r>
      <w:r w:rsidRPr="00E24FBE">
        <w:rPr>
          <w:rFonts w:hint="cs"/>
          <w:color w:val="000000" w:themeColor="text1"/>
          <w:spacing w:val="-4"/>
          <w:sz w:val="26"/>
          <w:szCs w:val="26"/>
          <w:vertAlign w:val="superscript"/>
          <w:rtl/>
          <w:lang w:bidi="ar-EG"/>
        </w:rPr>
        <w:t xml:space="preserve"> </w:t>
      </w:r>
      <w:r w:rsidRPr="00E24FBE">
        <w:rPr>
          <w:rFonts w:hint="cs"/>
          <w:color w:val="000000" w:themeColor="text1"/>
          <w:spacing w:val="-4"/>
          <w:sz w:val="26"/>
          <w:szCs w:val="26"/>
          <w:rtl/>
          <w:lang w:bidi="ar-EG"/>
        </w:rPr>
        <w:t xml:space="preserve">أن </w:t>
      </w:r>
      <w:proofErr w:type="spellStart"/>
      <w:r w:rsidRPr="00E24FBE">
        <w:rPr>
          <w:rFonts w:hint="cs"/>
          <w:color w:val="000000" w:themeColor="text1"/>
          <w:spacing w:val="-4"/>
          <w:sz w:val="26"/>
          <w:szCs w:val="26"/>
          <w:rtl/>
          <w:lang w:bidi="ar-EG"/>
        </w:rPr>
        <w:t>معارضى</w:t>
      </w:r>
      <w:proofErr w:type="spellEnd"/>
      <w:r w:rsidRPr="00E24FBE">
        <w:rPr>
          <w:rFonts w:hint="cs"/>
          <w:color w:val="000000" w:themeColor="text1"/>
          <w:spacing w:val="-4"/>
          <w:sz w:val="26"/>
          <w:szCs w:val="26"/>
          <w:rtl/>
          <w:lang w:bidi="ar-EG"/>
        </w:rPr>
        <w:t xml:space="preserve"> الإفصاح عن الدخل الشامل قدموا عدداً من الحجج أهمها أن بنود الدخل الشامل الآخر المفصح عنها في القوائم المالية ذات طبيعة مؤقتة وبالتالي فإنها لا تمثل الأرباح الحقيقية، كما أن هذه البنود ليس لديها القدرة على التنبؤ بالتدفقات النقدية المستقبلية، كما أنها تتسبب في تشويش وضوضاء </w:t>
      </w:r>
      <w:proofErr w:type="spellStart"/>
      <w:r w:rsidRPr="00E24FBE">
        <w:rPr>
          <w:rFonts w:hint="cs"/>
          <w:color w:val="000000" w:themeColor="text1"/>
          <w:spacing w:val="-4"/>
          <w:sz w:val="26"/>
          <w:szCs w:val="26"/>
          <w:rtl/>
          <w:lang w:bidi="ar-EG"/>
        </w:rPr>
        <w:t>فى</w:t>
      </w:r>
      <w:proofErr w:type="spellEnd"/>
      <w:r w:rsidRPr="00E24FBE">
        <w:rPr>
          <w:rFonts w:hint="cs"/>
          <w:color w:val="000000" w:themeColor="text1"/>
          <w:spacing w:val="-4"/>
          <w:sz w:val="26"/>
          <w:szCs w:val="26"/>
          <w:rtl/>
          <w:lang w:bidi="ar-EG"/>
        </w:rPr>
        <w:t xml:space="preserve"> الدخل المفصح عنه مما يجعل التنبؤ بالأرباح أكثر صعوبة. </w:t>
      </w:r>
      <w:bookmarkStart w:id="3" w:name="_Hlk111222119"/>
      <w:r w:rsidRPr="00E24FBE">
        <w:rPr>
          <w:rFonts w:hint="cs"/>
          <w:color w:val="000000" w:themeColor="text1"/>
          <w:spacing w:val="-4"/>
          <w:sz w:val="26"/>
          <w:szCs w:val="26"/>
          <w:rtl/>
          <w:lang w:bidi="ar-EG"/>
        </w:rPr>
        <w:t xml:space="preserve">ونظراً لأن مكونات الدخل الشامل تتكون إلى حد كبير من المكاسب والخسائر غير المحققة فإنهم يجادلون بأن هذه العناصر مدفوعة بعوامل السوق </w:t>
      </w:r>
      <w:proofErr w:type="spellStart"/>
      <w:r w:rsidRPr="00E24FBE">
        <w:rPr>
          <w:rFonts w:hint="cs"/>
          <w:color w:val="000000" w:themeColor="text1"/>
          <w:spacing w:val="-4"/>
          <w:sz w:val="26"/>
          <w:szCs w:val="26"/>
          <w:rtl/>
          <w:lang w:bidi="ar-EG"/>
        </w:rPr>
        <w:t>أى</w:t>
      </w:r>
      <w:proofErr w:type="spellEnd"/>
      <w:r w:rsidRPr="00E24FBE">
        <w:rPr>
          <w:rFonts w:hint="cs"/>
          <w:color w:val="000000" w:themeColor="text1"/>
          <w:spacing w:val="-4"/>
          <w:sz w:val="26"/>
          <w:szCs w:val="26"/>
          <w:rtl/>
          <w:lang w:bidi="ar-EG"/>
        </w:rPr>
        <w:t xml:space="preserve"> تخرج عن سيطرة المديرين، وبالتالي </w:t>
      </w:r>
      <w:proofErr w:type="spellStart"/>
      <w:r w:rsidRPr="00E24FBE">
        <w:rPr>
          <w:rFonts w:hint="cs"/>
          <w:color w:val="000000" w:themeColor="text1"/>
          <w:spacing w:val="-4"/>
          <w:sz w:val="26"/>
          <w:szCs w:val="26"/>
          <w:rtl/>
          <w:lang w:bidi="ar-EG"/>
        </w:rPr>
        <w:t>فهى</w:t>
      </w:r>
      <w:proofErr w:type="spellEnd"/>
      <w:r w:rsidRPr="00E24FBE">
        <w:rPr>
          <w:rFonts w:hint="cs"/>
          <w:color w:val="000000" w:themeColor="text1"/>
          <w:spacing w:val="-4"/>
          <w:sz w:val="26"/>
          <w:szCs w:val="26"/>
          <w:rtl/>
          <w:lang w:bidi="ar-EG"/>
        </w:rPr>
        <w:t xml:space="preserve"> ليست مقياساً جيداً لتقييم الأداء المالي</w:t>
      </w:r>
      <w:bookmarkEnd w:id="3"/>
      <w:r w:rsidRPr="00E24FBE">
        <w:rPr>
          <w:rFonts w:hint="cs"/>
          <w:color w:val="000000" w:themeColor="text1"/>
          <w:spacing w:val="-4"/>
          <w:sz w:val="26"/>
          <w:szCs w:val="26"/>
          <w:rtl/>
          <w:lang w:bidi="ar-EG"/>
        </w:rPr>
        <w:t xml:space="preserve">، وبشكل عام يدعو المعارضون إلى التركيز على مقاييس الدخل </w:t>
      </w:r>
      <w:proofErr w:type="spellStart"/>
      <w:r w:rsidRPr="00E24FBE">
        <w:rPr>
          <w:rFonts w:hint="cs"/>
          <w:color w:val="000000" w:themeColor="text1"/>
          <w:spacing w:val="-4"/>
          <w:sz w:val="26"/>
          <w:szCs w:val="26"/>
          <w:rtl/>
          <w:lang w:bidi="ar-EG"/>
        </w:rPr>
        <w:t>التشغيلى</w:t>
      </w:r>
      <w:proofErr w:type="spellEnd"/>
      <w:r w:rsidRPr="00E24FBE">
        <w:rPr>
          <w:rFonts w:hint="cs"/>
          <w:color w:val="000000" w:themeColor="text1"/>
          <w:spacing w:val="-4"/>
          <w:sz w:val="26"/>
          <w:szCs w:val="26"/>
          <w:rtl/>
          <w:lang w:bidi="ar-EG"/>
        </w:rPr>
        <w:t xml:space="preserve"> بدلا من الدخل الشامل.</w:t>
      </w:r>
    </w:p>
    <w:p w14:paraId="65E119FC" w14:textId="50CF2725" w:rsidR="000F4B5B" w:rsidRPr="00E24FBE" w:rsidRDefault="009A2AB3" w:rsidP="006C01C2">
      <w:pPr>
        <w:spacing w:line="228" w:lineRule="auto"/>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وفى نفس السياق أشار </w:t>
      </w:r>
      <w:proofErr w:type="spellStart"/>
      <w:r w:rsidRPr="00E24FBE">
        <w:rPr>
          <w:rFonts w:hint="cs"/>
          <w:color w:val="000000" w:themeColor="text1"/>
          <w:sz w:val="26"/>
          <w:szCs w:val="26"/>
          <w:rtl/>
          <w:lang w:bidi="ar-EG"/>
        </w:rPr>
        <w:t>عصيمى</w:t>
      </w:r>
      <w:proofErr w:type="spellEnd"/>
      <w:r w:rsidRPr="00E24FBE">
        <w:rPr>
          <w:rFonts w:hint="cs"/>
          <w:color w:val="000000" w:themeColor="text1"/>
          <w:sz w:val="26"/>
          <w:szCs w:val="26"/>
          <w:rtl/>
          <w:lang w:bidi="ar-EG"/>
        </w:rPr>
        <w:t xml:space="preserve"> (2012،</w:t>
      </w:r>
      <w:r w:rsidR="00726973">
        <w:rPr>
          <w:rFonts w:hint="cs"/>
          <w:color w:val="000000" w:themeColor="text1"/>
          <w:sz w:val="26"/>
          <w:szCs w:val="26"/>
          <w:rtl/>
          <w:lang w:bidi="ar-EG"/>
        </w:rPr>
        <w:t xml:space="preserve"> ص 236</w:t>
      </w:r>
      <w:r w:rsidRPr="00E24FBE">
        <w:rPr>
          <w:rFonts w:hint="cs"/>
          <w:color w:val="000000" w:themeColor="text1"/>
          <w:sz w:val="26"/>
          <w:szCs w:val="26"/>
          <w:rtl/>
          <w:lang w:bidi="ar-EG"/>
        </w:rPr>
        <w:t xml:space="preserve">) إلى أن </w:t>
      </w:r>
      <w:proofErr w:type="spellStart"/>
      <w:r w:rsidRPr="00E24FBE">
        <w:rPr>
          <w:rFonts w:hint="cs"/>
          <w:color w:val="000000" w:themeColor="text1"/>
          <w:sz w:val="26"/>
          <w:szCs w:val="26"/>
          <w:rtl/>
          <w:lang w:bidi="ar-EG"/>
        </w:rPr>
        <w:t>معارضى</w:t>
      </w:r>
      <w:proofErr w:type="spellEnd"/>
      <w:r w:rsidRPr="00E24FBE">
        <w:rPr>
          <w:rFonts w:hint="cs"/>
          <w:color w:val="000000" w:themeColor="text1"/>
          <w:sz w:val="26"/>
          <w:szCs w:val="26"/>
          <w:rtl/>
          <w:lang w:bidi="ar-EG"/>
        </w:rPr>
        <w:t xml:space="preserve"> الدخل الشامل يرون أنه مكون من البنود غير العادية وغير المتكررة </w:t>
      </w:r>
      <w:proofErr w:type="spellStart"/>
      <w:r w:rsidRPr="00E24FBE">
        <w:rPr>
          <w:rFonts w:hint="cs"/>
          <w:color w:val="000000" w:themeColor="text1"/>
          <w:sz w:val="26"/>
          <w:szCs w:val="26"/>
          <w:rtl/>
          <w:lang w:bidi="ar-EG"/>
        </w:rPr>
        <w:t>والتى</w:t>
      </w:r>
      <w:proofErr w:type="spellEnd"/>
      <w:r w:rsidRPr="00E24FBE">
        <w:rPr>
          <w:rFonts w:hint="cs"/>
          <w:color w:val="000000" w:themeColor="text1"/>
          <w:sz w:val="26"/>
          <w:szCs w:val="26"/>
          <w:rtl/>
          <w:lang w:bidi="ar-EG"/>
        </w:rPr>
        <w:t xml:space="preserve"> تعتمد إلى حد كبير على ظروف السوق، مما يتيح الفرصة لإدارة المنشأة في التلاعب في نتائج النشاط، وهو الأمر الذى يترتب عليه انخفاض درجة الثقة في المعلومات الواردة في القوائم المالية، وهو ما يؤثر على عملية اتخاذ</w:t>
      </w:r>
      <w:r w:rsidR="000F4B5B" w:rsidRPr="00E24FBE">
        <w:rPr>
          <w:rFonts w:hint="cs"/>
          <w:color w:val="000000" w:themeColor="text1"/>
          <w:sz w:val="26"/>
          <w:szCs w:val="26"/>
          <w:rtl/>
          <w:lang w:bidi="ar-EG"/>
        </w:rPr>
        <w:t xml:space="preserve"> القرار بشكل سلبى.</w:t>
      </w:r>
    </w:p>
    <w:p w14:paraId="36BF1D6B" w14:textId="77777777" w:rsidR="000F4B5B" w:rsidRPr="00E24FBE" w:rsidRDefault="000F4B5B" w:rsidP="006C01C2">
      <w:pPr>
        <w:spacing w:line="228" w:lineRule="auto"/>
        <w:ind w:firstLine="720"/>
        <w:jc w:val="lowKashida"/>
        <w:rPr>
          <w:color w:val="000000" w:themeColor="text1"/>
          <w:sz w:val="26"/>
          <w:szCs w:val="26"/>
          <w:rtl/>
          <w:lang w:bidi="ar-EG"/>
        </w:rPr>
      </w:pPr>
      <w:r w:rsidRPr="00E24FBE">
        <w:rPr>
          <w:rFonts w:hint="cs"/>
          <w:b/>
          <w:bCs/>
          <w:color w:val="000000" w:themeColor="text1"/>
          <w:sz w:val="26"/>
          <w:szCs w:val="26"/>
          <w:rtl/>
          <w:lang w:bidi="ar-EG"/>
        </w:rPr>
        <w:t>وفى ضوء ما سبق ترى الباحثة أن أهمية الإفصاح المحاسبي عن الدخل الشامل تتمثل في:</w:t>
      </w:r>
    </w:p>
    <w:p w14:paraId="5CD86A36" w14:textId="77777777" w:rsidR="000F4B5B" w:rsidRPr="00E24FBE" w:rsidRDefault="000F4B5B" w:rsidP="002209B2">
      <w:pPr>
        <w:pStyle w:val="Caption"/>
        <w:numPr>
          <w:ilvl w:val="0"/>
          <w:numId w:val="11"/>
        </w:numPr>
        <w:spacing w:after="0" w:line="228" w:lineRule="auto"/>
        <w:ind w:left="227" w:hanging="227"/>
        <w:jc w:val="lowKashida"/>
        <w:rPr>
          <w:rFonts w:ascii="Times New Roman" w:hAnsi="Times New Roman" w:cs="Simplified Arabic"/>
          <w:b w:val="0"/>
          <w:bCs w:val="0"/>
          <w:color w:val="000000" w:themeColor="text1"/>
          <w:sz w:val="26"/>
          <w:szCs w:val="26"/>
          <w:lang w:bidi="ar-EG"/>
        </w:rPr>
      </w:pPr>
      <w:r w:rsidRPr="00E24FBE">
        <w:rPr>
          <w:rFonts w:ascii="Times New Roman" w:hAnsi="Times New Roman" w:cs="Simplified Arabic" w:hint="cs"/>
          <w:b w:val="0"/>
          <w:bCs w:val="0"/>
          <w:color w:val="000000" w:themeColor="text1"/>
          <w:sz w:val="26"/>
          <w:szCs w:val="26"/>
          <w:rtl/>
          <w:lang w:bidi="ar-EG"/>
        </w:rPr>
        <w:t>أن الدخل الشامل يعتبر مقياساً أفضل لأداء المنشأة، أكثر من كونه مقياساً لأداء الإدارة لأنه من غير الممكن أن يتحكم المديرين بشكل مباشر في قوى السوق التي تؤثر على مكونات الدخل الشامل الآخر.</w:t>
      </w:r>
    </w:p>
    <w:p w14:paraId="756F84D6" w14:textId="77777777" w:rsidR="000F4B5B" w:rsidRPr="00E24FBE" w:rsidRDefault="000F4B5B" w:rsidP="002209B2">
      <w:pPr>
        <w:pStyle w:val="Caption"/>
        <w:numPr>
          <w:ilvl w:val="0"/>
          <w:numId w:val="11"/>
        </w:numPr>
        <w:spacing w:after="0" w:line="228" w:lineRule="auto"/>
        <w:ind w:left="227" w:hanging="227"/>
        <w:jc w:val="lowKashida"/>
        <w:rPr>
          <w:rFonts w:ascii="Times New Roman" w:hAnsi="Times New Roman" w:cs="Simplified Arabic"/>
          <w:b w:val="0"/>
          <w:bCs w:val="0"/>
          <w:color w:val="000000" w:themeColor="text1"/>
          <w:sz w:val="26"/>
          <w:szCs w:val="26"/>
          <w:lang w:bidi="ar-EG"/>
        </w:rPr>
      </w:pPr>
      <w:r w:rsidRPr="00E24FBE">
        <w:rPr>
          <w:rFonts w:ascii="Times New Roman" w:hAnsi="Times New Roman" w:cs="Simplified Arabic" w:hint="cs"/>
          <w:b w:val="0"/>
          <w:bCs w:val="0"/>
          <w:color w:val="000000" w:themeColor="text1"/>
          <w:sz w:val="26"/>
          <w:szCs w:val="26"/>
          <w:rtl/>
          <w:lang w:bidi="ar-EG"/>
        </w:rPr>
        <w:lastRenderedPageBreak/>
        <w:t>يعتبر المقياس الوحيد الذى يوضح جميع مصادر تعظيم القيمة وتوزيع القيمة.</w:t>
      </w:r>
    </w:p>
    <w:p w14:paraId="5248032C" w14:textId="77777777" w:rsidR="000F4B5B" w:rsidRPr="00E24FBE" w:rsidRDefault="000F4B5B" w:rsidP="002209B2">
      <w:pPr>
        <w:pStyle w:val="Caption"/>
        <w:numPr>
          <w:ilvl w:val="0"/>
          <w:numId w:val="11"/>
        </w:numPr>
        <w:spacing w:after="0" w:line="228" w:lineRule="auto"/>
        <w:ind w:left="227" w:hanging="227"/>
        <w:jc w:val="lowKashida"/>
        <w:rPr>
          <w:rFonts w:ascii="Times New Roman" w:hAnsi="Times New Roman" w:cs="Simplified Arabic"/>
          <w:b w:val="0"/>
          <w:bCs w:val="0"/>
          <w:color w:val="000000" w:themeColor="text1"/>
          <w:sz w:val="26"/>
          <w:szCs w:val="26"/>
          <w:lang w:bidi="ar-EG"/>
        </w:rPr>
      </w:pPr>
      <w:r w:rsidRPr="00E24FBE">
        <w:rPr>
          <w:rFonts w:ascii="Times New Roman" w:hAnsi="Times New Roman" w:cs="Simplified Arabic" w:hint="cs"/>
          <w:b w:val="0"/>
          <w:bCs w:val="0"/>
          <w:color w:val="000000" w:themeColor="text1"/>
          <w:sz w:val="26"/>
          <w:szCs w:val="26"/>
          <w:rtl/>
          <w:lang w:bidi="ar-EG"/>
        </w:rPr>
        <w:t xml:space="preserve">تساعد المعلومات الواردة في قائمة الدخل الشامل </w:t>
      </w:r>
      <w:proofErr w:type="spellStart"/>
      <w:r w:rsidRPr="00E24FBE">
        <w:rPr>
          <w:rFonts w:ascii="Times New Roman" w:hAnsi="Times New Roman" w:cs="Simplified Arabic" w:hint="cs"/>
          <w:b w:val="0"/>
          <w:bCs w:val="0"/>
          <w:color w:val="000000" w:themeColor="text1"/>
          <w:sz w:val="26"/>
          <w:szCs w:val="26"/>
          <w:rtl/>
          <w:lang w:bidi="ar-EG"/>
        </w:rPr>
        <w:t>مستخدمى</w:t>
      </w:r>
      <w:proofErr w:type="spellEnd"/>
      <w:r w:rsidRPr="00E24FBE">
        <w:rPr>
          <w:rFonts w:ascii="Times New Roman" w:hAnsi="Times New Roman" w:cs="Simplified Arabic" w:hint="cs"/>
          <w:b w:val="0"/>
          <w:bCs w:val="0"/>
          <w:color w:val="000000" w:themeColor="text1"/>
          <w:sz w:val="26"/>
          <w:szCs w:val="26"/>
          <w:rtl/>
          <w:lang w:bidi="ar-EG"/>
        </w:rPr>
        <w:t xml:space="preserve"> القوائم المالية في التنبؤ بتوقيت وحجم التدفقات النقدية، وتوقع الأداء المستقبلي.</w:t>
      </w:r>
    </w:p>
    <w:p w14:paraId="2FAE8B86" w14:textId="77777777" w:rsidR="000F4B5B" w:rsidRPr="00E24FBE" w:rsidRDefault="000F4B5B" w:rsidP="002209B2">
      <w:pPr>
        <w:pStyle w:val="Caption"/>
        <w:numPr>
          <w:ilvl w:val="0"/>
          <w:numId w:val="11"/>
        </w:numPr>
        <w:spacing w:after="0" w:line="228" w:lineRule="auto"/>
        <w:ind w:left="227" w:hanging="227"/>
        <w:jc w:val="lowKashida"/>
        <w:rPr>
          <w:rFonts w:ascii="Times New Roman" w:hAnsi="Times New Roman" w:cs="Simplified Arabic"/>
          <w:b w:val="0"/>
          <w:bCs w:val="0"/>
          <w:color w:val="000000" w:themeColor="text1"/>
          <w:sz w:val="26"/>
          <w:szCs w:val="26"/>
          <w:lang w:bidi="ar-EG"/>
        </w:rPr>
      </w:pPr>
      <w:r w:rsidRPr="00E24FBE">
        <w:rPr>
          <w:rFonts w:ascii="Times New Roman" w:hAnsi="Times New Roman" w:cs="Simplified Arabic" w:hint="cs"/>
          <w:b w:val="0"/>
          <w:bCs w:val="0"/>
          <w:color w:val="000000" w:themeColor="text1"/>
          <w:sz w:val="26"/>
          <w:szCs w:val="26"/>
          <w:rtl/>
          <w:lang w:bidi="ar-EG"/>
        </w:rPr>
        <w:t xml:space="preserve">الحد من سيطرة الإدارة من التلاعب في الأرباح وهو ما ينعكس على زيادة شفافية القوائم المالية وقابليتها للمقارنة وهو ما ينتج عنه تكافؤ الفرص بين جميع المستثمرين. </w:t>
      </w:r>
    </w:p>
    <w:p w14:paraId="562B53AB" w14:textId="77777777" w:rsidR="000F4B5B" w:rsidRPr="00E24FBE" w:rsidRDefault="000F4B5B" w:rsidP="002209B2">
      <w:pPr>
        <w:pStyle w:val="Caption"/>
        <w:numPr>
          <w:ilvl w:val="0"/>
          <w:numId w:val="11"/>
        </w:numPr>
        <w:spacing w:after="0" w:line="228" w:lineRule="auto"/>
        <w:ind w:left="227" w:hanging="227"/>
        <w:jc w:val="lowKashida"/>
        <w:rPr>
          <w:rFonts w:ascii="Times New Roman" w:hAnsi="Times New Roman" w:cs="Simplified Arabic"/>
          <w:b w:val="0"/>
          <w:bCs w:val="0"/>
          <w:color w:val="000000" w:themeColor="text1"/>
          <w:sz w:val="26"/>
          <w:szCs w:val="26"/>
          <w:lang w:bidi="ar-EG"/>
        </w:rPr>
      </w:pPr>
      <w:r w:rsidRPr="00E24FBE">
        <w:rPr>
          <w:rFonts w:ascii="Times New Roman" w:hAnsi="Times New Roman" w:cs="Simplified Arabic" w:hint="cs"/>
          <w:b w:val="0"/>
          <w:bCs w:val="0"/>
          <w:color w:val="000000" w:themeColor="text1"/>
          <w:sz w:val="26"/>
          <w:szCs w:val="26"/>
          <w:rtl/>
          <w:lang w:bidi="ar-EG"/>
        </w:rPr>
        <w:t xml:space="preserve">توفير مقياس ملائم لغرض التقييم وهو مؤشر ربحية السهم من </w:t>
      </w:r>
      <w:proofErr w:type="gramStart"/>
      <w:r w:rsidRPr="00E24FBE">
        <w:rPr>
          <w:rFonts w:ascii="Times New Roman" w:hAnsi="Times New Roman" w:cs="Simplified Arabic" w:hint="cs"/>
          <w:b w:val="0"/>
          <w:bCs w:val="0"/>
          <w:color w:val="000000" w:themeColor="text1"/>
          <w:sz w:val="26"/>
          <w:szCs w:val="26"/>
          <w:rtl/>
          <w:lang w:bidi="ar-EG"/>
        </w:rPr>
        <w:t>صافى</w:t>
      </w:r>
      <w:proofErr w:type="gramEnd"/>
      <w:r w:rsidRPr="00E24FBE">
        <w:rPr>
          <w:rFonts w:ascii="Times New Roman" w:hAnsi="Times New Roman" w:cs="Simplified Arabic" w:hint="cs"/>
          <w:b w:val="0"/>
          <w:bCs w:val="0"/>
          <w:color w:val="000000" w:themeColor="text1"/>
          <w:sz w:val="26"/>
          <w:szCs w:val="26"/>
          <w:rtl/>
          <w:lang w:bidi="ar-EG"/>
        </w:rPr>
        <w:t xml:space="preserve"> الدخل الشامل.</w:t>
      </w:r>
    </w:p>
    <w:p w14:paraId="5735A59B" w14:textId="637AFC3D" w:rsidR="000F4B5B" w:rsidRPr="00E24FBE" w:rsidRDefault="000F4B5B" w:rsidP="00C85ED3">
      <w:pPr>
        <w:pStyle w:val="Caption"/>
        <w:numPr>
          <w:ilvl w:val="0"/>
          <w:numId w:val="11"/>
        </w:numPr>
        <w:spacing w:after="0" w:line="228" w:lineRule="auto"/>
        <w:ind w:left="227" w:hanging="227"/>
        <w:jc w:val="lowKashida"/>
        <w:rPr>
          <w:rFonts w:ascii="Times New Roman" w:hAnsi="Times New Roman" w:cs="Simplified Arabic"/>
          <w:b w:val="0"/>
          <w:bCs w:val="0"/>
          <w:color w:val="000000" w:themeColor="text1"/>
          <w:spacing w:val="-4"/>
          <w:sz w:val="26"/>
          <w:szCs w:val="26"/>
          <w:lang w:bidi="ar-EG"/>
        </w:rPr>
      </w:pPr>
      <w:r w:rsidRPr="00E24FBE">
        <w:rPr>
          <w:rFonts w:ascii="Times New Roman" w:hAnsi="Times New Roman" w:cs="Simplified Arabic" w:hint="cs"/>
          <w:b w:val="0"/>
          <w:bCs w:val="0"/>
          <w:color w:val="000000" w:themeColor="text1"/>
          <w:spacing w:val="-4"/>
          <w:sz w:val="26"/>
          <w:szCs w:val="26"/>
          <w:rtl/>
          <w:lang w:bidi="ar-EG"/>
        </w:rPr>
        <w:t xml:space="preserve">الدخل الشامل هو مفهوم واسع للربح، حيث يتم الاعتراف بالإيرادات والمصروفات المحققة وغير المحققة، وبالتالي فإنه يعرض الصورة الكاملة </w:t>
      </w:r>
      <w:proofErr w:type="spellStart"/>
      <w:r w:rsidRPr="00E24FBE">
        <w:rPr>
          <w:rFonts w:ascii="Times New Roman" w:hAnsi="Times New Roman" w:cs="Simplified Arabic" w:hint="cs"/>
          <w:b w:val="0"/>
          <w:bCs w:val="0"/>
          <w:color w:val="000000" w:themeColor="text1"/>
          <w:spacing w:val="-4"/>
          <w:sz w:val="26"/>
          <w:szCs w:val="26"/>
          <w:rtl/>
          <w:lang w:bidi="ar-EG"/>
        </w:rPr>
        <w:t>لمستخدمى</w:t>
      </w:r>
      <w:proofErr w:type="spellEnd"/>
      <w:r w:rsidRPr="00E24FBE">
        <w:rPr>
          <w:rFonts w:ascii="Times New Roman" w:hAnsi="Times New Roman" w:cs="Simplified Arabic" w:hint="cs"/>
          <w:b w:val="0"/>
          <w:bCs w:val="0"/>
          <w:color w:val="000000" w:themeColor="text1"/>
          <w:spacing w:val="-4"/>
          <w:sz w:val="26"/>
          <w:szCs w:val="26"/>
          <w:rtl/>
          <w:lang w:bidi="ar-EG"/>
        </w:rPr>
        <w:t xml:space="preserve"> القوائم المالية حول</w:t>
      </w:r>
      <w:r w:rsidR="00C85ED3">
        <w:rPr>
          <w:rFonts w:ascii="Times New Roman" w:hAnsi="Times New Roman" w:cs="Simplified Arabic" w:hint="cs"/>
          <w:b w:val="0"/>
          <w:bCs w:val="0"/>
          <w:color w:val="000000" w:themeColor="text1"/>
          <w:spacing w:val="-4"/>
          <w:sz w:val="26"/>
          <w:szCs w:val="26"/>
          <w:rtl/>
          <w:lang w:bidi="ar-EG"/>
        </w:rPr>
        <w:t xml:space="preserve"> </w:t>
      </w:r>
      <w:r w:rsidRPr="00E24FBE">
        <w:rPr>
          <w:rFonts w:ascii="Times New Roman" w:hAnsi="Times New Roman" w:cs="Simplified Arabic" w:hint="cs"/>
          <w:b w:val="0"/>
          <w:bCs w:val="0"/>
          <w:color w:val="000000" w:themeColor="text1"/>
          <w:spacing w:val="-4"/>
          <w:sz w:val="26"/>
          <w:szCs w:val="26"/>
          <w:rtl/>
          <w:lang w:bidi="ar-EG"/>
        </w:rPr>
        <w:t>أداء المنشأة.</w:t>
      </w:r>
    </w:p>
    <w:p w14:paraId="3013EC11" w14:textId="45950171" w:rsidR="000F4B5B" w:rsidRPr="00C85ED3" w:rsidRDefault="0092195F" w:rsidP="00C85ED3">
      <w:pPr>
        <w:spacing w:before="120"/>
        <w:jc w:val="lowKashida"/>
        <w:rPr>
          <w:b/>
          <w:bCs/>
          <w:color w:val="000000" w:themeColor="text1"/>
          <w:rtl/>
          <w:lang w:bidi="ar-EG"/>
        </w:rPr>
      </w:pPr>
      <w:r w:rsidRPr="00C85ED3">
        <w:rPr>
          <w:rFonts w:hint="cs"/>
          <w:b/>
          <w:bCs/>
          <w:color w:val="000000" w:themeColor="text1"/>
          <w:rtl/>
          <w:lang w:bidi="ar-EG"/>
        </w:rPr>
        <w:t xml:space="preserve">3/2 </w:t>
      </w:r>
      <w:r w:rsidR="000F4B5B" w:rsidRPr="00C85ED3">
        <w:rPr>
          <w:rFonts w:hint="cs"/>
          <w:b/>
          <w:bCs/>
          <w:color w:val="000000" w:themeColor="text1"/>
          <w:rtl/>
          <w:lang w:bidi="ar-EG"/>
        </w:rPr>
        <w:t xml:space="preserve">بدائل الإفصاح </w:t>
      </w:r>
      <w:proofErr w:type="spellStart"/>
      <w:r w:rsidR="000F4B5B" w:rsidRPr="00C85ED3">
        <w:rPr>
          <w:rFonts w:hint="cs"/>
          <w:b/>
          <w:bCs/>
          <w:color w:val="000000" w:themeColor="text1"/>
          <w:rtl/>
          <w:lang w:bidi="ar-EG"/>
        </w:rPr>
        <w:t>المحاسبى</w:t>
      </w:r>
      <w:proofErr w:type="spellEnd"/>
      <w:r w:rsidR="000F4B5B" w:rsidRPr="00C85ED3">
        <w:rPr>
          <w:rFonts w:hint="cs"/>
          <w:b/>
          <w:bCs/>
          <w:color w:val="000000" w:themeColor="text1"/>
          <w:rtl/>
          <w:lang w:bidi="ar-EG"/>
        </w:rPr>
        <w:t xml:space="preserve"> عن الدخل الشامل وفقاً للإصدارات المهنية: </w:t>
      </w:r>
    </w:p>
    <w:p w14:paraId="42C59FED" w14:textId="002BA5E0" w:rsidR="000F4B5B" w:rsidRPr="00C85ED3" w:rsidRDefault="000F4B5B" w:rsidP="00C24E42">
      <w:pPr>
        <w:pStyle w:val="Heading2"/>
        <w:spacing w:before="0"/>
        <w:rPr>
          <w:rFonts w:cs="Simplified Arabic"/>
          <w:b/>
          <w:bCs/>
          <w:color w:val="000000" w:themeColor="text1"/>
          <w:sz w:val="28"/>
          <w:szCs w:val="28"/>
          <w:rtl/>
          <w:lang w:bidi="ar-EG"/>
        </w:rPr>
      </w:pPr>
      <w:r w:rsidRPr="00C85ED3">
        <w:rPr>
          <w:rFonts w:cs="Simplified Arabic" w:hint="cs"/>
          <w:b/>
          <w:bCs/>
          <w:color w:val="000000" w:themeColor="text1"/>
          <w:sz w:val="28"/>
          <w:szCs w:val="28"/>
          <w:rtl/>
          <w:lang w:bidi="ar-EG"/>
        </w:rPr>
        <w:t>البديل الأول: الإفصاح عن الدخل الشامل في قائمة الدخل التقليدية:</w:t>
      </w:r>
    </w:p>
    <w:p w14:paraId="32950D02" w14:textId="7F36C93A" w:rsidR="000F4B5B" w:rsidRPr="00E24FBE" w:rsidRDefault="000F4B5B" w:rsidP="00C85ED3">
      <w:pPr>
        <w:pStyle w:val="Caption"/>
        <w:spacing w:after="0" w:line="228" w:lineRule="auto"/>
        <w:ind w:firstLine="720"/>
        <w:jc w:val="lowKashida"/>
        <w:rPr>
          <w:rFonts w:ascii="Times New Roman" w:hAnsi="Times New Roman" w:cs="Simplified Arabic"/>
          <w:b w:val="0"/>
          <w:bCs w:val="0"/>
          <w:color w:val="000000" w:themeColor="text1"/>
          <w:sz w:val="26"/>
          <w:szCs w:val="26"/>
          <w:rtl/>
          <w:lang w:bidi="ar-EG"/>
        </w:rPr>
      </w:pPr>
      <w:r w:rsidRPr="00E24FBE">
        <w:rPr>
          <w:rFonts w:ascii="Times New Roman" w:hAnsi="Times New Roman" w:cs="Simplified Arabic" w:hint="cs"/>
          <w:b w:val="0"/>
          <w:bCs w:val="0"/>
          <w:color w:val="000000" w:themeColor="text1"/>
          <w:sz w:val="26"/>
          <w:szCs w:val="26"/>
          <w:rtl/>
          <w:lang w:bidi="ar-EG"/>
        </w:rPr>
        <w:t xml:space="preserve">يتم الإفصاح عن بنود الدخل الشامل ضمن قائمة الدخل وبالتالي يظهر صافى الدخل أولاً يليه بنود الدخل الشامل الآخر للوصول إلى إجمالي الدخل الشامل، وتسمى هذه القائمة بقائمة الدخل والدخل الشامل، ويتم الإفصاح عن تسويات إعادة التبويب والتي يقصد بها المبالغ التي تم الاعتراف بها في فترة سابقة ضمن بنود الدخل الشامل الآخر حتى تتحقق ويتم الاعتراف بها كجزء من صافى الدخل خلال الفترة، وذلك لتجنب الازدواج المحاسبي في بنود الدخل الشامل الآخر، وبذلك تكون هناك قائمة واحدة تضم صافى الدخل وبنود الدخل الشامل الآخر، ويتميز هذا البديل بأنه يفصح عن صافى الدخل والدخل الشامل كمقياسين من مقاييس الأداء في قائمة واحدة، ولكن يعاب عليه أن صافى الدخل يُعتبر رقماً فرعياً في القائمة وليس الرقم النهائي وهذا يقلل من أهمية رقم صافى الدخل كمقياس للأداء ويمكن أن يسبب غموض لدى بعض </w:t>
      </w:r>
      <w:proofErr w:type="spellStart"/>
      <w:r w:rsidRPr="00E24FBE">
        <w:rPr>
          <w:rFonts w:ascii="Times New Roman" w:hAnsi="Times New Roman" w:cs="Simplified Arabic" w:hint="cs"/>
          <w:b w:val="0"/>
          <w:bCs w:val="0"/>
          <w:color w:val="000000" w:themeColor="text1"/>
          <w:sz w:val="26"/>
          <w:szCs w:val="26"/>
          <w:rtl/>
          <w:lang w:bidi="ar-EG"/>
        </w:rPr>
        <w:t>مستخدمى</w:t>
      </w:r>
      <w:proofErr w:type="spellEnd"/>
      <w:r w:rsidRPr="00E24FBE">
        <w:rPr>
          <w:rFonts w:ascii="Times New Roman" w:hAnsi="Times New Roman" w:cs="Simplified Arabic" w:hint="cs"/>
          <w:b w:val="0"/>
          <w:bCs w:val="0"/>
          <w:color w:val="000000" w:themeColor="text1"/>
          <w:sz w:val="26"/>
          <w:szCs w:val="26"/>
          <w:rtl/>
          <w:lang w:bidi="ar-EG"/>
        </w:rPr>
        <w:t xml:space="preserve"> القوائم المالية حول الربح </w:t>
      </w:r>
      <w:proofErr w:type="spellStart"/>
      <w:r w:rsidRPr="00E24FBE">
        <w:rPr>
          <w:rFonts w:ascii="Times New Roman" w:hAnsi="Times New Roman" w:cs="Simplified Arabic" w:hint="cs"/>
          <w:b w:val="0"/>
          <w:bCs w:val="0"/>
          <w:color w:val="000000" w:themeColor="text1"/>
          <w:sz w:val="26"/>
          <w:szCs w:val="26"/>
          <w:rtl/>
          <w:lang w:bidi="ar-EG"/>
        </w:rPr>
        <w:t>الحقيقى</w:t>
      </w:r>
      <w:proofErr w:type="spellEnd"/>
      <w:r w:rsidRPr="00E24FBE">
        <w:rPr>
          <w:rFonts w:ascii="Times New Roman" w:hAnsi="Times New Roman" w:cs="Simplified Arabic" w:hint="cs"/>
          <w:b w:val="0"/>
          <w:bCs w:val="0"/>
          <w:color w:val="000000" w:themeColor="text1"/>
          <w:sz w:val="26"/>
          <w:szCs w:val="26"/>
          <w:rtl/>
          <w:lang w:bidi="ar-EG"/>
        </w:rPr>
        <w:t xml:space="preserve"> (بلال، 2019، ص 11).</w:t>
      </w:r>
    </w:p>
    <w:p w14:paraId="108D9BB4" w14:textId="77777777" w:rsidR="000F4B5B" w:rsidRPr="00C85ED3" w:rsidRDefault="000F4B5B" w:rsidP="00C85ED3">
      <w:pPr>
        <w:pStyle w:val="Heading2"/>
        <w:spacing w:before="0" w:line="228" w:lineRule="auto"/>
        <w:rPr>
          <w:rFonts w:cs="Simplified Arabic"/>
          <w:b/>
          <w:bCs/>
          <w:color w:val="000000" w:themeColor="text1"/>
          <w:sz w:val="28"/>
          <w:szCs w:val="28"/>
          <w:rtl/>
          <w:lang w:bidi="ar-EG"/>
        </w:rPr>
      </w:pPr>
      <w:r w:rsidRPr="00C85ED3">
        <w:rPr>
          <w:rFonts w:cs="Simplified Arabic" w:hint="cs"/>
          <w:b/>
          <w:bCs/>
          <w:color w:val="000000" w:themeColor="text1"/>
          <w:sz w:val="28"/>
          <w:szCs w:val="28"/>
          <w:rtl/>
          <w:lang w:bidi="ar-EG"/>
        </w:rPr>
        <w:t xml:space="preserve">البديل </w:t>
      </w:r>
      <w:proofErr w:type="spellStart"/>
      <w:r w:rsidRPr="00C85ED3">
        <w:rPr>
          <w:rFonts w:cs="Simplified Arabic" w:hint="cs"/>
          <w:b/>
          <w:bCs/>
          <w:color w:val="000000" w:themeColor="text1"/>
          <w:sz w:val="28"/>
          <w:szCs w:val="28"/>
          <w:rtl/>
          <w:lang w:bidi="ar-EG"/>
        </w:rPr>
        <w:t>الثانى</w:t>
      </w:r>
      <w:proofErr w:type="spellEnd"/>
      <w:r w:rsidRPr="00C85ED3">
        <w:rPr>
          <w:rFonts w:cs="Simplified Arabic" w:hint="cs"/>
          <w:b/>
          <w:bCs/>
          <w:color w:val="000000" w:themeColor="text1"/>
          <w:sz w:val="28"/>
          <w:szCs w:val="28"/>
          <w:rtl/>
          <w:lang w:bidi="ar-EG"/>
        </w:rPr>
        <w:t>: الإفصاح عن الدخل الشامل في قائمة منفصلة ومستقلة:</w:t>
      </w:r>
    </w:p>
    <w:p w14:paraId="239B144C" w14:textId="1E21E9D0" w:rsidR="000F4B5B" w:rsidRPr="00E24FBE" w:rsidRDefault="000F4B5B" w:rsidP="00C85ED3">
      <w:pPr>
        <w:spacing w:line="228" w:lineRule="auto"/>
        <w:ind w:firstLine="720"/>
        <w:jc w:val="lowKashida"/>
        <w:rPr>
          <w:color w:val="000000" w:themeColor="text1"/>
          <w:sz w:val="26"/>
          <w:szCs w:val="26"/>
          <w:rtl/>
          <w:lang w:bidi="ar-EG"/>
        </w:rPr>
      </w:pPr>
      <w:r w:rsidRPr="00E24FBE">
        <w:rPr>
          <w:color w:val="000000" w:themeColor="text1"/>
          <w:sz w:val="26"/>
          <w:szCs w:val="26"/>
          <w:rtl/>
          <w:lang w:bidi="ar-EG"/>
        </w:rPr>
        <w:t>وفقا</w:t>
      </w:r>
      <w:r w:rsidRPr="00E24FBE">
        <w:rPr>
          <w:rFonts w:hint="cs"/>
          <w:color w:val="000000" w:themeColor="text1"/>
          <w:sz w:val="26"/>
          <w:szCs w:val="26"/>
          <w:rtl/>
          <w:lang w:bidi="ar-EG"/>
        </w:rPr>
        <w:t>ً</w:t>
      </w:r>
      <w:r w:rsidRPr="00E24FBE">
        <w:rPr>
          <w:color w:val="000000" w:themeColor="text1"/>
          <w:sz w:val="26"/>
          <w:szCs w:val="26"/>
          <w:rtl/>
          <w:lang w:bidi="ar-EG"/>
        </w:rPr>
        <w:t xml:space="preserve"> لهذا </w:t>
      </w:r>
      <w:r w:rsidRPr="00E24FBE">
        <w:rPr>
          <w:rFonts w:hint="cs"/>
          <w:color w:val="000000" w:themeColor="text1"/>
          <w:sz w:val="26"/>
          <w:szCs w:val="26"/>
          <w:rtl/>
          <w:lang w:bidi="ar-EG"/>
        </w:rPr>
        <w:t>البديل</w:t>
      </w:r>
      <w:r w:rsidRPr="00E24FBE">
        <w:rPr>
          <w:color w:val="000000" w:themeColor="text1"/>
          <w:sz w:val="26"/>
          <w:szCs w:val="26"/>
          <w:rtl/>
          <w:lang w:bidi="ar-EG"/>
        </w:rPr>
        <w:t xml:space="preserve"> يتم إعداد</w:t>
      </w:r>
      <w:r w:rsidRPr="00E24FBE">
        <w:rPr>
          <w:rFonts w:hint="cs"/>
          <w:color w:val="000000" w:themeColor="text1"/>
          <w:sz w:val="26"/>
          <w:szCs w:val="26"/>
          <w:rtl/>
          <w:lang w:bidi="ar-EG"/>
        </w:rPr>
        <w:t xml:space="preserve"> قائمة</w:t>
      </w:r>
      <w:r w:rsidRPr="00E24FBE">
        <w:rPr>
          <w:color w:val="000000" w:themeColor="text1"/>
          <w:sz w:val="26"/>
          <w:szCs w:val="26"/>
          <w:rtl/>
          <w:lang w:bidi="ar-EG"/>
        </w:rPr>
        <w:t xml:space="preserve"> لعرض بنود الدخل الشامل </w:t>
      </w:r>
      <w:r w:rsidRPr="00E24FBE">
        <w:rPr>
          <w:rFonts w:hint="cs"/>
          <w:color w:val="000000" w:themeColor="text1"/>
          <w:sz w:val="26"/>
          <w:szCs w:val="26"/>
          <w:rtl/>
          <w:lang w:bidi="ar-EG"/>
        </w:rPr>
        <w:t>الآخر</w:t>
      </w:r>
      <w:r w:rsidRPr="00E24FBE">
        <w:rPr>
          <w:color w:val="000000" w:themeColor="text1"/>
          <w:sz w:val="26"/>
          <w:szCs w:val="26"/>
          <w:rtl/>
          <w:lang w:bidi="ar-EG"/>
        </w:rPr>
        <w:t xml:space="preserve"> تسمى قائمة الدخل الشامل،</w:t>
      </w:r>
      <w:r w:rsidRPr="00E24FBE">
        <w:rPr>
          <w:rFonts w:hint="cs"/>
          <w:color w:val="000000" w:themeColor="text1"/>
          <w:sz w:val="26"/>
          <w:szCs w:val="26"/>
          <w:rtl/>
          <w:lang w:bidi="ar-EG"/>
        </w:rPr>
        <w:t xml:space="preserve"> </w:t>
      </w:r>
      <w:r w:rsidRPr="00E24FBE">
        <w:rPr>
          <w:color w:val="000000" w:themeColor="text1"/>
          <w:sz w:val="26"/>
          <w:szCs w:val="26"/>
          <w:rtl/>
          <w:lang w:bidi="ar-EG"/>
        </w:rPr>
        <w:t xml:space="preserve">حيث تبدأ القائمة </w:t>
      </w:r>
      <w:proofErr w:type="spellStart"/>
      <w:r w:rsidRPr="00E24FBE">
        <w:rPr>
          <w:color w:val="000000" w:themeColor="text1"/>
          <w:sz w:val="26"/>
          <w:szCs w:val="26"/>
          <w:rtl/>
          <w:lang w:bidi="ar-EG"/>
        </w:rPr>
        <w:t>بصافى</w:t>
      </w:r>
      <w:proofErr w:type="spellEnd"/>
      <w:r w:rsidRPr="00E24FBE">
        <w:rPr>
          <w:color w:val="000000" w:themeColor="text1"/>
          <w:sz w:val="26"/>
          <w:szCs w:val="26"/>
          <w:rtl/>
          <w:lang w:bidi="ar-EG"/>
        </w:rPr>
        <w:t xml:space="preserve"> الدخل من قائمة الدخل التقليدية مضافاً إليه بنود الدخل الشامل </w:t>
      </w:r>
      <w:r w:rsidRPr="00E24FBE">
        <w:rPr>
          <w:rFonts w:hint="cs"/>
          <w:color w:val="000000" w:themeColor="text1"/>
          <w:sz w:val="26"/>
          <w:szCs w:val="26"/>
          <w:rtl/>
          <w:lang w:bidi="ar-EG"/>
        </w:rPr>
        <w:t>الآخر</w:t>
      </w:r>
      <w:r w:rsidRPr="00E24FBE">
        <w:rPr>
          <w:color w:val="000000" w:themeColor="text1"/>
          <w:sz w:val="26"/>
          <w:szCs w:val="26"/>
          <w:rtl/>
          <w:lang w:bidi="ar-EG"/>
        </w:rPr>
        <w:t xml:space="preserve"> وصولاً لإجمالي الدخل الشامل، ويتميز هذا الشكل بأنه أكثر وضوحاً وشفافية ولا يسبب أي تشتت، كما أن عرض بنود الدخل الشامل </w:t>
      </w:r>
      <w:r w:rsidRPr="00E24FBE">
        <w:rPr>
          <w:rFonts w:hint="cs"/>
          <w:color w:val="000000" w:themeColor="text1"/>
          <w:sz w:val="26"/>
          <w:szCs w:val="26"/>
          <w:rtl/>
          <w:lang w:bidi="ar-EG"/>
        </w:rPr>
        <w:t>الآخر</w:t>
      </w:r>
      <w:r w:rsidRPr="00E24FBE">
        <w:rPr>
          <w:color w:val="000000" w:themeColor="text1"/>
          <w:sz w:val="26"/>
          <w:szCs w:val="26"/>
          <w:rtl/>
          <w:lang w:bidi="ar-EG"/>
        </w:rPr>
        <w:t xml:space="preserve"> في قائمة منفصلة يشير إلى أن المعلومات الواردة في هذه القائمة مهمة وملائمة </w:t>
      </w:r>
      <w:proofErr w:type="spellStart"/>
      <w:r w:rsidRPr="00E24FBE">
        <w:rPr>
          <w:color w:val="000000" w:themeColor="text1"/>
          <w:sz w:val="26"/>
          <w:szCs w:val="26"/>
          <w:rtl/>
          <w:lang w:bidi="ar-EG"/>
        </w:rPr>
        <w:t>لمتخدى</w:t>
      </w:r>
      <w:proofErr w:type="spellEnd"/>
      <w:r w:rsidRPr="00E24FBE">
        <w:rPr>
          <w:color w:val="000000" w:themeColor="text1"/>
          <w:sz w:val="26"/>
          <w:szCs w:val="26"/>
          <w:rtl/>
          <w:lang w:bidi="ar-EG"/>
        </w:rPr>
        <w:t xml:space="preserve"> القرار</w:t>
      </w:r>
      <w:r w:rsidRPr="00E24FBE">
        <w:rPr>
          <w:rFonts w:hint="cs"/>
          <w:color w:val="000000" w:themeColor="text1"/>
          <w:sz w:val="26"/>
          <w:szCs w:val="26"/>
          <w:vertAlign w:val="superscript"/>
          <w:rtl/>
          <w:lang w:bidi="ar-EG"/>
        </w:rPr>
        <w:t xml:space="preserve"> </w:t>
      </w:r>
      <w:r w:rsidRPr="00E24FBE">
        <w:rPr>
          <w:rFonts w:hint="cs"/>
          <w:color w:val="000000" w:themeColor="text1"/>
          <w:sz w:val="26"/>
          <w:szCs w:val="26"/>
          <w:rtl/>
          <w:lang w:bidi="ar-EG"/>
        </w:rPr>
        <w:t>(بلال، 2019، ص 12).</w:t>
      </w:r>
    </w:p>
    <w:p w14:paraId="6D491452" w14:textId="77777777" w:rsidR="000F4B5B" w:rsidRPr="00C85ED3" w:rsidRDefault="000F4B5B" w:rsidP="00C24E42">
      <w:pPr>
        <w:pStyle w:val="Heading2"/>
        <w:spacing w:before="0"/>
        <w:rPr>
          <w:rFonts w:cs="Simplified Arabic"/>
          <w:b/>
          <w:bCs/>
          <w:color w:val="000000" w:themeColor="text1"/>
          <w:sz w:val="28"/>
          <w:szCs w:val="28"/>
          <w:rtl/>
          <w:lang w:bidi="ar-EG"/>
        </w:rPr>
      </w:pPr>
      <w:r w:rsidRPr="00C85ED3">
        <w:rPr>
          <w:rFonts w:cs="Simplified Arabic" w:hint="cs"/>
          <w:b/>
          <w:bCs/>
          <w:color w:val="000000" w:themeColor="text1"/>
          <w:sz w:val="28"/>
          <w:szCs w:val="28"/>
          <w:rtl/>
          <w:lang w:bidi="ar-EG"/>
        </w:rPr>
        <w:t xml:space="preserve">البديل الثالث: </w:t>
      </w:r>
      <w:r w:rsidRPr="00C85ED3">
        <w:rPr>
          <w:rFonts w:cs="Simplified Arabic" w:hint="eastAsia"/>
          <w:b/>
          <w:bCs/>
          <w:color w:val="000000" w:themeColor="text1"/>
          <w:sz w:val="28"/>
          <w:szCs w:val="28"/>
          <w:rtl/>
          <w:lang w:bidi="ar-EG"/>
        </w:rPr>
        <w:t>الإفصاح</w:t>
      </w:r>
      <w:r w:rsidRPr="00C85ED3">
        <w:rPr>
          <w:rFonts w:cs="Simplified Arabic" w:hint="cs"/>
          <w:b/>
          <w:bCs/>
          <w:color w:val="000000" w:themeColor="text1"/>
          <w:sz w:val="28"/>
          <w:szCs w:val="28"/>
          <w:rtl/>
          <w:lang w:bidi="ar-EG"/>
        </w:rPr>
        <w:t xml:space="preserve"> عن الدخل الشامل كجزء من قائمة التغيرات </w:t>
      </w:r>
      <w:r w:rsidRPr="00C85ED3">
        <w:rPr>
          <w:rFonts w:cs="Simplified Arabic" w:hint="eastAsia"/>
          <w:b/>
          <w:bCs/>
          <w:color w:val="000000" w:themeColor="text1"/>
          <w:sz w:val="28"/>
          <w:szCs w:val="28"/>
          <w:rtl/>
          <w:lang w:bidi="ar-EG"/>
        </w:rPr>
        <w:t>في</w:t>
      </w:r>
      <w:r w:rsidRPr="00C85ED3">
        <w:rPr>
          <w:rFonts w:cs="Simplified Arabic" w:hint="cs"/>
          <w:b/>
          <w:bCs/>
          <w:color w:val="000000" w:themeColor="text1"/>
          <w:sz w:val="28"/>
          <w:szCs w:val="28"/>
          <w:rtl/>
          <w:lang w:bidi="ar-EG"/>
        </w:rPr>
        <w:t xml:space="preserve"> حقوق الملكية:</w:t>
      </w:r>
    </w:p>
    <w:p w14:paraId="279D792A" w14:textId="47624709" w:rsidR="000F4B5B" w:rsidRPr="00E24FBE" w:rsidRDefault="000F4B5B" w:rsidP="00C24E42">
      <w:pPr>
        <w:pStyle w:val="Caption"/>
        <w:spacing w:after="0"/>
        <w:ind w:firstLine="720"/>
        <w:jc w:val="lowKashida"/>
        <w:rPr>
          <w:rFonts w:ascii="Times New Roman" w:hAnsi="Times New Roman" w:cs="Simplified Arabic"/>
          <w:b w:val="0"/>
          <w:bCs w:val="0"/>
          <w:color w:val="000000" w:themeColor="text1"/>
          <w:sz w:val="26"/>
          <w:szCs w:val="26"/>
          <w:rtl/>
          <w:lang w:bidi="ar-EG"/>
        </w:rPr>
      </w:pPr>
      <w:r w:rsidRPr="00E24FBE">
        <w:rPr>
          <w:rFonts w:ascii="Times New Roman" w:hAnsi="Times New Roman" w:cs="Simplified Arabic" w:hint="cs"/>
          <w:b w:val="0"/>
          <w:bCs w:val="0"/>
          <w:color w:val="000000" w:themeColor="text1"/>
          <w:sz w:val="26"/>
          <w:szCs w:val="26"/>
          <w:rtl/>
          <w:lang w:bidi="ar-EG"/>
        </w:rPr>
        <w:t xml:space="preserve">توضح قائمة التغيرات </w:t>
      </w:r>
      <w:r w:rsidRPr="00E24FBE">
        <w:rPr>
          <w:rFonts w:ascii="Times New Roman" w:hAnsi="Times New Roman" w:cs="Simplified Arabic" w:hint="eastAsia"/>
          <w:b w:val="0"/>
          <w:bCs w:val="0"/>
          <w:color w:val="000000" w:themeColor="text1"/>
          <w:sz w:val="26"/>
          <w:szCs w:val="26"/>
          <w:rtl/>
          <w:lang w:bidi="ar-EG"/>
        </w:rPr>
        <w:t>في</w:t>
      </w:r>
      <w:r w:rsidRPr="00E24FBE">
        <w:rPr>
          <w:rFonts w:ascii="Times New Roman" w:hAnsi="Times New Roman" w:cs="Simplified Arabic" w:hint="cs"/>
          <w:b w:val="0"/>
          <w:bCs w:val="0"/>
          <w:color w:val="000000" w:themeColor="text1"/>
          <w:sz w:val="26"/>
          <w:szCs w:val="26"/>
          <w:rtl/>
          <w:lang w:bidi="ar-EG"/>
        </w:rPr>
        <w:t xml:space="preserve"> حقوق الملكية التغيرات الحادثة </w:t>
      </w:r>
      <w:r w:rsidRPr="00E24FBE">
        <w:rPr>
          <w:rFonts w:ascii="Times New Roman" w:hAnsi="Times New Roman" w:cs="Simplified Arabic" w:hint="eastAsia"/>
          <w:b w:val="0"/>
          <w:bCs w:val="0"/>
          <w:color w:val="000000" w:themeColor="text1"/>
          <w:sz w:val="26"/>
          <w:szCs w:val="26"/>
          <w:rtl/>
          <w:lang w:bidi="ar-EG"/>
        </w:rPr>
        <w:t>في</w:t>
      </w:r>
      <w:r w:rsidRPr="00E24FBE">
        <w:rPr>
          <w:rFonts w:ascii="Times New Roman" w:hAnsi="Times New Roman" w:cs="Simplified Arabic" w:hint="cs"/>
          <w:b w:val="0"/>
          <w:bCs w:val="0"/>
          <w:color w:val="000000" w:themeColor="text1"/>
          <w:sz w:val="26"/>
          <w:szCs w:val="26"/>
          <w:rtl/>
          <w:lang w:bidi="ar-EG"/>
        </w:rPr>
        <w:t xml:space="preserve"> حقوق الملكية خلال الفترة مهما كانت مصادر هذه التغيرات، وذلك بهدف إظهار رصيد نهاية الفترة لحقوق الملكية، حيث يتم تسوية رصيد أول الفترة بأثر جميع العمليات والأحداث والظروف </w:t>
      </w:r>
      <w:r w:rsidRPr="00E24FBE">
        <w:rPr>
          <w:rFonts w:ascii="Times New Roman" w:hAnsi="Times New Roman" w:cs="Simplified Arabic" w:hint="eastAsia"/>
          <w:b w:val="0"/>
          <w:bCs w:val="0"/>
          <w:color w:val="000000" w:themeColor="text1"/>
          <w:sz w:val="26"/>
          <w:szCs w:val="26"/>
          <w:rtl/>
          <w:lang w:bidi="ar-EG"/>
        </w:rPr>
        <w:t>التي</w:t>
      </w:r>
      <w:r w:rsidRPr="00E24FBE">
        <w:rPr>
          <w:rFonts w:ascii="Times New Roman" w:hAnsi="Times New Roman" w:cs="Simplified Arabic" w:hint="cs"/>
          <w:b w:val="0"/>
          <w:bCs w:val="0"/>
          <w:color w:val="000000" w:themeColor="text1"/>
          <w:sz w:val="26"/>
          <w:szCs w:val="26"/>
          <w:rtl/>
          <w:lang w:bidi="ar-EG"/>
        </w:rPr>
        <w:t xml:space="preserve"> أثرت </w:t>
      </w:r>
      <w:r w:rsidRPr="00E24FBE">
        <w:rPr>
          <w:rFonts w:ascii="Times New Roman" w:hAnsi="Times New Roman" w:cs="Simplified Arabic" w:hint="eastAsia"/>
          <w:b w:val="0"/>
          <w:bCs w:val="0"/>
          <w:color w:val="000000" w:themeColor="text1"/>
          <w:sz w:val="26"/>
          <w:szCs w:val="26"/>
          <w:rtl/>
          <w:lang w:bidi="ar-EG"/>
        </w:rPr>
        <w:t>في</w:t>
      </w:r>
      <w:r w:rsidRPr="00E24FBE">
        <w:rPr>
          <w:rFonts w:ascii="Times New Roman" w:hAnsi="Times New Roman" w:cs="Simplified Arabic" w:hint="cs"/>
          <w:b w:val="0"/>
          <w:bCs w:val="0"/>
          <w:color w:val="000000" w:themeColor="text1"/>
          <w:sz w:val="26"/>
          <w:szCs w:val="26"/>
          <w:rtl/>
          <w:lang w:bidi="ar-EG"/>
        </w:rPr>
        <w:t xml:space="preserve"> حقوق الملكية خلال الفترة (على، 2019، ص 469).</w:t>
      </w:r>
    </w:p>
    <w:p w14:paraId="24C6D15D" w14:textId="2F38AF00" w:rsidR="000F4B5B" w:rsidRPr="00C85ED3" w:rsidRDefault="000F4B5B" w:rsidP="00C24E42">
      <w:pPr>
        <w:pStyle w:val="Caption"/>
        <w:spacing w:after="0"/>
        <w:ind w:firstLine="720"/>
        <w:jc w:val="lowKashida"/>
        <w:rPr>
          <w:rFonts w:ascii="Times New Roman" w:hAnsi="Times New Roman" w:cs="Simplified Arabic"/>
          <w:b w:val="0"/>
          <w:bCs w:val="0"/>
          <w:color w:val="000000" w:themeColor="text1"/>
          <w:spacing w:val="-4"/>
          <w:sz w:val="26"/>
          <w:szCs w:val="26"/>
          <w:rtl/>
          <w:lang w:bidi="ar-EG"/>
        </w:rPr>
      </w:pPr>
      <w:r w:rsidRPr="00C85ED3">
        <w:rPr>
          <w:rFonts w:ascii="Times New Roman" w:hAnsi="Times New Roman" w:cs="Simplified Arabic" w:hint="cs"/>
          <w:b w:val="0"/>
          <w:bCs w:val="0"/>
          <w:color w:val="000000" w:themeColor="text1"/>
          <w:spacing w:val="-4"/>
          <w:sz w:val="26"/>
          <w:szCs w:val="26"/>
          <w:rtl/>
          <w:lang w:bidi="ar-EG"/>
        </w:rPr>
        <w:lastRenderedPageBreak/>
        <w:t xml:space="preserve">ولتحقيق هذا الهدف والتأكد من أن رصيد أخر الفترة لحقوق الملكية يعكس أثر كل الأنشطة </w:t>
      </w:r>
      <w:r w:rsidRPr="00C85ED3">
        <w:rPr>
          <w:rFonts w:ascii="Times New Roman" w:hAnsi="Times New Roman" w:cs="Simplified Arabic" w:hint="eastAsia"/>
          <w:b w:val="0"/>
          <w:bCs w:val="0"/>
          <w:color w:val="000000" w:themeColor="text1"/>
          <w:spacing w:val="-4"/>
          <w:sz w:val="26"/>
          <w:szCs w:val="26"/>
          <w:rtl/>
          <w:lang w:bidi="ar-EG"/>
        </w:rPr>
        <w:t>التي</w:t>
      </w:r>
      <w:r w:rsidRPr="00C85ED3">
        <w:rPr>
          <w:rFonts w:ascii="Times New Roman" w:hAnsi="Times New Roman" w:cs="Simplified Arabic" w:hint="cs"/>
          <w:b w:val="0"/>
          <w:bCs w:val="0"/>
          <w:color w:val="000000" w:themeColor="text1"/>
          <w:spacing w:val="-4"/>
          <w:sz w:val="26"/>
          <w:szCs w:val="26"/>
          <w:rtl/>
          <w:lang w:bidi="ar-EG"/>
        </w:rPr>
        <w:t xml:space="preserve"> تمت خلال الفترة على حقوق الملكية رأى كلاً من مجلس معايير المحاسبة المالية </w:t>
      </w:r>
      <w:r w:rsidRPr="00C85ED3">
        <w:rPr>
          <w:rFonts w:ascii="Times New Roman" w:hAnsi="Times New Roman" w:cs="Simplified Arabic"/>
          <w:b w:val="0"/>
          <w:bCs w:val="0"/>
          <w:color w:val="000000" w:themeColor="text1"/>
          <w:spacing w:val="-4"/>
          <w:sz w:val="26"/>
          <w:szCs w:val="26"/>
          <w:lang w:bidi="ar-EG"/>
        </w:rPr>
        <w:t>FASB</w:t>
      </w:r>
      <w:r w:rsidRPr="00C85ED3">
        <w:rPr>
          <w:rFonts w:ascii="Times New Roman" w:hAnsi="Times New Roman" w:cs="Simplified Arabic" w:hint="cs"/>
          <w:b w:val="0"/>
          <w:bCs w:val="0"/>
          <w:color w:val="000000" w:themeColor="text1"/>
          <w:spacing w:val="-4"/>
          <w:sz w:val="26"/>
          <w:szCs w:val="26"/>
          <w:rtl/>
          <w:lang w:bidi="ar-EG"/>
        </w:rPr>
        <w:t xml:space="preserve"> ومجلس معايير المحاسبة الدولية </w:t>
      </w:r>
      <w:r w:rsidRPr="00C85ED3">
        <w:rPr>
          <w:rFonts w:ascii="Times New Roman" w:hAnsi="Times New Roman" w:cs="Simplified Arabic"/>
          <w:b w:val="0"/>
          <w:bCs w:val="0"/>
          <w:color w:val="000000" w:themeColor="text1"/>
          <w:spacing w:val="-4"/>
          <w:sz w:val="26"/>
          <w:szCs w:val="26"/>
          <w:lang w:bidi="ar-EG"/>
        </w:rPr>
        <w:t>IASB</w:t>
      </w:r>
      <w:r w:rsidRPr="00C85ED3">
        <w:rPr>
          <w:rFonts w:ascii="Times New Roman" w:hAnsi="Times New Roman" w:cs="Simplified Arabic" w:hint="cs"/>
          <w:b w:val="0"/>
          <w:bCs w:val="0"/>
          <w:color w:val="000000" w:themeColor="text1"/>
          <w:spacing w:val="-4"/>
          <w:sz w:val="26"/>
          <w:szCs w:val="26"/>
          <w:rtl/>
          <w:lang w:bidi="ar-EG"/>
        </w:rPr>
        <w:t xml:space="preserve"> إمكانية إدراج بنود الدخل الشامل الآخر ضمن هذه القائمة، حيث تضاف أو تطرح بنود الدخل الشامل الآخر وكذلك صافى الربح أو الخسارة إلى رصيد أول الفترة لحقوق الملكية كما تضاف أو تطرح بقية البنود المعتادة </w:t>
      </w:r>
      <w:r w:rsidRPr="00C85ED3">
        <w:rPr>
          <w:rFonts w:ascii="Times New Roman" w:hAnsi="Times New Roman" w:cs="Simplified Arabic" w:hint="eastAsia"/>
          <w:b w:val="0"/>
          <w:bCs w:val="0"/>
          <w:color w:val="000000" w:themeColor="text1"/>
          <w:spacing w:val="-4"/>
          <w:sz w:val="26"/>
          <w:szCs w:val="26"/>
          <w:rtl/>
          <w:lang w:bidi="ar-EG"/>
        </w:rPr>
        <w:t>التي</w:t>
      </w:r>
      <w:r w:rsidRPr="00C85ED3">
        <w:rPr>
          <w:rFonts w:ascii="Times New Roman" w:hAnsi="Times New Roman" w:cs="Simplified Arabic" w:hint="cs"/>
          <w:b w:val="0"/>
          <w:bCs w:val="0"/>
          <w:color w:val="000000" w:themeColor="text1"/>
          <w:spacing w:val="-4"/>
          <w:sz w:val="26"/>
          <w:szCs w:val="26"/>
          <w:rtl/>
          <w:lang w:bidi="ar-EG"/>
        </w:rPr>
        <w:t xml:space="preserve"> تدرج </w:t>
      </w:r>
      <w:r w:rsidRPr="00C85ED3">
        <w:rPr>
          <w:rFonts w:ascii="Times New Roman" w:hAnsi="Times New Roman" w:cs="Simplified Arabic" w:hint="eastAsia"/>
          <w:b w:val="0"/>
          <w:bCs w:val="0"/>
          <w:color w:val="000000" w:themeColor="text1"/>
          <w:spacing w:val="-4"/>
          <w:sz w:val="26"/>
          <w:szCs w:val="26"/>
          <w:rtl/>
          <w:lang w:bidi="ar-EG"/>
        </w:rPr>
        <w:t>في</w:t>
      </w:r>
      <w:r w:rsidRPr="00C85ED3">
        <w:rPr>
          <w:rFonts w:ascii="Times New Roman" w:hAnsi="Times New Roman" w:cs="Simplified Arabic" w:hint="cs"/>
          <w:b w:val="0"/>
          <w:bCs w:val="0"/>
          <w:color w:val="000000" w:themeColor="text1"/>
          <w:spacing w:val="-4"/>
          <w:sz w:val="26"/>
          <w:szCs w:val="26"/>
          <w:rtl/>
          <w:lang w:bidi="ar-EG"/>
        </w:rPr>
        <w:t xml:space="preserve"> هذه القائمة (كالزيادة </w:t>
      </w:r>
      <w:r w:rsidRPr="00C85ED3">
        <w:rPr>
          <w:rFonts w:ascii="Times New Roman" w:hAnsi="Times New Roman" w:cs="Simplified Arabic" w:hint="eastAsia"/>
          <w:b w:val="0"/>
          <w:bCs w:val="0"/>
          <w:color w:val="000000" w:themeColor="text1"/>
          <w:spacing w:val="-4"/>
          <w:sz w:val="26"/>
          <w:szCs w:val="26"/>
          <w:rtl/>
          <w:lang w:bidi="ar-EG"/>
        </w:rPr>
        <w:t>في</w:t>
      </w:r>
      <w:r w:rsidRPr="00C85ED3">
        <w:rPr>
          <w:rFonts w:ascii="Times New Roman" w:hAnsi="Times New Roman" w:cs="Simplified Arabic" w:hint="cs"/>
          <w:b w:val="0"/>
          <w:bCs w:val="0"/>
          <w:color w:val="000000" w:themeColor="text1"/>
          <w:spacing w:val="-4"/>
          <w:sz w:val="26"/>
          <w:szCs w:val="26"/>
          <w:rtl/>
          <w:lang w:bidi="ar-EG"/>
        </w:rPr>
        <w:t xml:space="preserve"> حقوق الملكية نتيجة إصدار أسهم جديدة والنقص فيها نتيجة التوزيعات وذلك وصولاً </w:t>
      </w:r>
      <w:r w:rsidRPr="00C85ED3">
        <w:rPr>
          <w:rFonts w:ascii="Times New Roman" w:hAnsi="Times New Roman" w:cs="Simplified Arabic" w:hint="eastAsia"/>
          <w:b w:val="0"/>
          <w:bCs w:val="0"/>
          <w:color w:val="000000" w:themeColor="text1"/>
          <w:spacing w:val="-4"/>
          <w:sz w:val="26"/>
          <w:szCs w:val="26"/>
          <w:rtl/>
          <w:lang w:bidi="ar-EG"/>
        </w:rPr>
        <w:t>في</w:t>
      </w:r>
      <w:r w:rsidRPr="00C85ED3">
        <w:rPr>
          <w:rFonts w:ascii="Times New Roman" w:hAnsi="Times New Roman" w:cs="Simplified Arabic" w:hint="cs"/>
          <w:b w:val="0"/>
          <w:bCs w:val="0"/>
          <w:color w:val="000000" w:themeColor="text1"/>
          <w:spacing w:val="-4"/>
          <w:sz w:val="26"/>
          <w:szCs w:val="26"/>
          <w:rtl/>
          <w:lang w:bidi="ar-EG"/>
        </w:rPr>
        <w:t xml:space="preserve"> النهاية إلى رصيد آخر الفترة لحقوق الملكية</w:t>
      </w:r>
      <w:r w:rsidRPr="00C85ED3">
        <w:rPr>
          <w:rFonts w:ascii="Times New Roman" w:hAnsi="Times New Roman" w:cs="Simplified Arabic" w:hint="cs"/>
          <w:b w:val="0"/>
          <w:bCs w:val="0"/>
          <w:color w:val="000000" w:themeColor="text1"/>
          <w:spacing w:val="-4"/>
          <w:sz w:val="26"/>
          <w:szCs w:val="26"/>
          <w:vertAlign w:val="superscript"/>
          <w:rtl/>
          <w:lang w:bidi="ar-EG"/>
        </w:rPr>
        <w:t xml:space="preserve"> </w:t>
      </w:r>
      <w:r w:rsidRPr="00C85ED3">
        <w:rPr>
          <w:rFonts w:ascii="Times New Roman" w:hAnsi="Times New Roman" w:cs="Simplified Arabic" w:hint="cs"/>
          <w:b w:val="0"/>
          <w:bCs w:val="0"/>
          <w:color w:val="000000" w:themeColor="text1"/>
          <w:spacing w:val="-4"/>
          <w:sz w:val="26"/>
          <w:szCs w:val="26"/>
          <w:rtl/>
          <w:lang w:bidi="ar-EG"/>
        </w:rPr>
        <w:t>(على، 2019، ص 469).</w:t>
      </w:r>
    </w:p>
    <w:p w14:paraId="399EBE02" w14:textId="71BC002A" w:rsidR="000F4B5B" w:rsidRPr="00E24FBE" w:rsidRDefault="000F4B5B" w:rsidP="00C24E42">
      <w:pPr>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ووفقاً لمجلس معايير المحاسبة الدولية </w:t>
      </w:r>
      <w:r w:rsidRPr="00E24FBE">
        <w:rPr>
          <w:color w:val="000000" w:themeColor="text1"/>
          <w:sz w:val="26"/>
          <w:szCs w:val="26"/>
          <w:lang w:bidi="ar-EG"/>
        </w:rPr>
        <w:t>IASB</w:t>
      </w:r>
      <w:r w:rsidRPr="00E24FBE">
        <w:rPr>
          <w:rFonts w:hint="cs"/>
          <w:color w:val="000000" w:themeColor="text1"/>
          <w:sz w:val="26"/>
          <w:szCs w:val="26"/>
          <w:rtl/>
          <w:lang w:bidi="ar-EG"/>
        </w:rPr>
        <w:t xml:space="preserve"> ، فقد أتاح معيار المحاسبة </w:t>
      </w:r>
      <w:proofErr w:type="spellStart"/>
      <w:r w:rsidRPr="00E24FBE">
        <w:rPr>
          <w:rFonts w:hint="cs"/>
          <w:color w:val="000000" w:themeColor="text1"/>
          <w:sz w:val="26"/>
          <w:szCs w:val="26"/>
          <w:rtl/>
          <w:lang w:bidi="ar-EG"/>
        </w:rPr>
        <w:t>الدولى</w:t>
      </w:r>
      <w:proofErr w:type="spellEnd"/>
      <w:r w:rsidRPr="00E24FBE">
        <w:rPr>
          <w:rFonts w:hint="cs"/>
          <w:color w:val="000000" w:themeColor="text1"/>
          <w:sz w:val="26"/>
          <w:szCs w:val="26"/>
          <w:rtl/>
          <w:lang w:bidi="ar-EG"/>
        </w:rPr>
        <w:t xml:space="preserve"> رقم (1) المعدل </w:t>
      </w:r>
      <w:r w:rsidRPr="00E24FBE">
        <w:rPr>
          <w:color w:val="000000" w:themeColor="text1"/>
          <w:sz w:val="26"/>
          <w:szCs w:val="26"/>
          <w:lang w:bidi="ar-EG"/>
        </w:rPr>
        <w:t>(IAS 1)</w:t>
      </w:r>
      <w:r w:rsidRPr="00E24FBE">
        <w:rPr>
          <w:rFonts w:hint="cs"/>
          <w:color w:val="000000" w:themeColor="text1"/>
          <w:sz w:val="26"/>
          <w:szCs w:val="26"/>
          <w:rtl/>
          <w:lang w:bidi="ar-EG"/>
        </w:rPr>
        <w:t xml:space="preserve"> بديلين للإفصاح عن الدخل الشامل</w:t>
      </w:r>
      <w:r w:rsidRPr="00E24FBE">
        <w:rPr>
          <w:color w:val="000000" w:themeColor="text1"/>
          <w:sz w:val="26"/>
          <w:szCs w:val="26"/>
          <w:vertAlign w:val="superscript"/>
          <w:rtl/>
          <w:lang w:bidi="ar-EG"/>
        </w:rPr>
        <w:t xml:space="preserve"> </w:t>
      </w:r>
      <w:r w:rsidRPr="00E24FBE">
        <w:rPr>
          <w:color w:val="000000" w:themeColor="text1"/>
          <w:sz w:val="26"/>
          <w:szCs w:val="26"/>
          <w:lang w:bidi="ar-EG"/>
        </w:rPr>
        <w:t>(Gazzola and Amelio, 2014, p 42)</w:t>
      </w:r>
      <w:r w:rsidRPr="00E24FBE">
        <w:rPr>
          <w:rFonts w:hint="cs"/>
          <w:color w:val="000000" w:themeColor="text1"/>
          <w:sz w:val="26"/>
          <w:szCs w:val="26"/>
          <w:rtl/>
          <w:lang w:bidi="ar-EG"/>
        </w:rPr>
        <w:t>:</w:t>
      </w:r>
    </w:p>
    <w:p w14:paraId="19EC1FFB" w14:textId="77777777" w:rsidR="000F4B5B" w:rsidRPr="00E24FBE" w:rsidRDefault="000F4B5B" w:rsidP="00C85ED3">
      <w:pPr>
        <w:pStyle w:val="ListParagraph"/>
        <w:numPr>
          <w:ilvl w:val="0"/>
          <w:numId w:val="12"/>
        </w:numPr>
        <w:spacing w:line="228" w:lineRule="auto"/>
        <w:ind w:left="452" w:hanging="226"/>
        <w:contextualSpacing w:val="0"/>
        <w:jc w:val="lowKashida"/>
        <w:rPr>
          <w:color w:val="000000" w:themeColor="text1"/>
          <w:sz w:val="26"/>
          <w:szCs w:val="26"/>
          <w:rtl/>
          <w:lang w:bidi="ar-EG"/>
        </w:rPr>
      </w:pPr>
      <w:r w:rsidRPr="00E24FBE">
        <w:rPr>
          <w:rFonts w:hint="cs"/>
          <w:b/>
          <w:bCs/>
          <w:color w:val="000000" w:themeColor="text1"/>
          <w:sz w:val="26"/>
          <w:szCs w:val="26"/>
          <w:rtl/>
          <w:lang w:bidi="ar-EG"/>
        </w:rPr>
        <w:t>البديل الأول</w:t>
      </w:r>
      <w:r w:rsidRPr="00E24FBE">
        <w:rPr>
          <w:rFonts w:hint="cs"/>
          <w:color w:val="000000" w:themeColor="text1"/>
          <w:sz w:val="26"/>
          <w:szCs w:val="26"/>
          <w:rtl/>
          <w:lang w:bidi="ar-EG"/>
        </w:rPr>
        <w:t>: الإفصاح من خلال قائمة واحدة تشمل جميع بنود الإيرادات والمصروفات المعترف بها خلال الفترة.</w:t>
      </w:r>
    </w:p>
    <w:p w14:paraId="12939E14" w14:textId="77777777" w:rsidR="000F4B5B" w:rsidRPr="00E24FBE" w:rsidRDefault="000F4B5B" w:rsidP="00C85ED3">
      <w:pPr>
        <w:pStyle w:val="ListParagraph"/>
        <w:numPr>
          <w:ilvl w:val="0"/>
          <w:numId w:val="12"/>
        </w:numPr>
        <w:spacing w:line="228" w:lineRule="auto"/>
        <w:ind w:left="452" w:hanging="226"/>
        <w:contextualSpacing w:val="0"/>
        <w:jc w:val="lowKashida"/>
        <w:rPr>
          <w:color w:val="000000" w:themeColor="text1"/>
          <w:sz w:val="26"/>
          <w:szCs w:val="26"/>
          <w:rtl/>
          <w:lang w:bidi="ar-EG"/>
        </w:rPr>
      </w:pPr>
      <w:r w:rsidRPr="00E24FBE">
        <w:rPr>
          <w:rFonts w:hint="cs"/>
          <w:b/>
          <w:bCs/>
          <w:color w:val="000000" w:themeColor="text1"/>
          <w:sz w:val="26"/>
          <w:szCs w:val="26"/>
          <w:rtl/>
          <w:lang w:bidi="ar-EG"/>
        </w:rPr>
        <w:t xml:space="preserve">البديل </w:t>
      </w:r>
      <w:proofErr w:type="spellStart"/>
      <w:r w:rsidRPr="00E24FBE">
        <w:rPr>
          <w:rFonts w:hint="cs"/>
          <w:b/>
          <w:bCs/>
          <w:color w:val="000000" w:themeColor="text1"/>
          <w:sz w:val="26"/>
          <w:szCs w:val="26"/>
          <w:rtl/>
          <w:lang w:bidi="ar-EG"/>
        </w:rPr>
        <w:t>الثانى</w:t>
      </w:r>
      <w:proofErr w:type="spellEnd"/>
      <w:r w:rsidRPr="00E24FBE">
        <w:rPr>
          <w:rFonts w:hint="cs"/>
          <w:color w:val="000000" w:themeColor="text1"/>
          <w:sz w:val="26"/>
          <w:szCs w:val="26"/>
          <w:rtl/>
          <w:lang w:bidi="ar-EG"/>
        </w:rPr>
        <w:t xml:space="preserve">: الإفصاح من خلال قائمتين منفصلتين القائمة الأولى تتضمن صافى الربح أو الخسارة، والقائمة الثانية تبدأ </w:t>
      </w:r>
      <w:proofErr w:type="spellStart"/>
      <w:r w:rsidRPr="00E24FBE">
        <w:rPr>
          <w:rFonts w:hint="cs"/>
          <w:color w:val="000000" w:themeColor="text1"/>
          <w:sz w:val="26"/>
          <w:szCs w:val="26"/>
          <w:rtl/>
          <w:lang w:bidi="ar-EG"/>
        </w:rPr>
        <w:t>بصافى</w:t>
      </w:r>
      <w:proofErr w:type="spellEnd"/>
      <w:r w:rsidRPr="00E24FBE">
        <w:rPr>
          <w:rFonts w:hint="cs"/>
          <w:color w:val="000000" w:themeColor="text1"/>
          <w:sz w:val="26"/>
          <w:szCs w:val="26"/>
          <w:rtl/>
          <w:lang w:bidi="ar-EG"/>
        </w:rPr>
        <w:t xml:space="preserve"> الربح أو الخسارة تليه بنود الدخل الشامل الآخر.</w:t>
      </w:r>
    </w:p>
    <w:p w14:paraId="7CDAD242" w14:textId="1F30FE02" w:rsidR="000F4B5B" w:rsidRPr="00E24FBE" w:rsidRDefault="000F4B5B" w:rsidP="00C85ED3">
      <w:pPr>
        <w:spacing w:line="228" w:lineRule="auto"/>
        <w:ind w:firstLine="720"/>
        <w:jc w:val="lowKashida"/>
        <w:rPr>
          <w:color w:val="000000" w:themeColor="text1"/>
          <w:spacing w:val="-4"/>
          <w:sz w:val="26"/>
          <w:szCs w:val="26"/>
          <w:rtl/>
          <w:lang w:bidi="ar-EG"/>
        </w:rPr>
      </w:pPr>
      <w:r w:rsidRPr="00E24FBE">
        <w:rPr>
          <w:rFonts w:hint="cs"/>
          <w:color w:val="000000" w:themeColor="text1"/>
          <w:spacing w:val="-4"/>
          <w:sz w:val="26"/>
          <w:szCs w:val="26"/>
          <w:rtl/>
          <w:lang w:bidi="ar-EG"/>
        </w:rPr>
        <w:t xml:space="preserve">بينما فيما يتعلق بمعايير المحاسبة المصرية والتي تعتبر نسخة مترجمة لمعايير المحاسبة الدولية، فقد ألزم معيار المحاسبة </w:t>
      </w:r>
      <w:proofErr w:type="spellStart"/>
      <w:r w:rsidRPr="00E24FBE">
        <w:rPr>
          <w:rFonts w:hint="cs"/>
          <w:color w:val="000000" w:themeColor="text1"/>
          <w:spacing w:val="-4"/>
          <w:sz w:val="26"/>
          <w:szCs w:val="26"/>
          <w:rtl/>
          <w:lang w:bidi="ar-EG"/>
        </w:rPr>
        <w:t>المصرى</w:t>
      </w:r>
      <w:proofErr w:type="spellEnd"/>
      <w:r w:rsidRPr="00E24FBE">
        <w:rPr>
          <w:rFonts w:hint="cs"/>
          <w:color w:val="000000" w:themeColor="text1"/>
          <w:spacing w:val="-4"/>
          <w:sz w:val="26"/>
          <w:szCs w:val="26"/>
          <w:rtl/>
          <w:lang w:bidi="ar-EG"/>
        </w:rPr>
        <w:t xml:space="preserve"> الصادر عام 2015 والمعدل في عام 2019 بعنوان "</w:t>
      </w:r>
      <w:r w:rsidRPr="00E24FBE">
        <w:rPr>
          <w:rFonts w:hint="cs"/>
          <w:b/>
          <w:bCs/>
          <w:color w:val="000000" w:themeColor="text1"/>
          <w:spacing w:val="-4"/>
          <w:sz w:val="26"/>
          <w:szCs w:val="26"/>
          <w:rtl/>
          <w:lang w:bidi="ar-EG"/>
        </w:rPr>
        <w:t>عرض القوائم المالية</w:t>
      </w:r>
      <w:r w:rsidRPr="00E24FBE">
        <w:rPr>
          <w:rFonts w:hint="cs"/>
          <w:color w:val="000000" w:themeColor="text1"/>
          <w:spacing w:val="-4"/>
          <w:sz w:val="26"/>
          <w:szCs w:val="26"/>
          <w:rtl/>
          <w:lang w:bidi="ar-EG"/>
        </w:rPr>
        <w:t xml:space="preserve">" الشركات المصرية بالإفصاح عن الدخل الشامل في قائمتين </w:t>
      </w:r>
      <w:proofErr w:type="spellStart"/>
      <w:r w:rsidRPr="00E24FBE">
        <w:rPr>
          <w:rFonts w:hint="cs"/>
          <w:color w:val="000000" w:themeColor="text1"/>
          <w:spacing w:val="-4"/>
          <w:sz w:val="26"/>
          <w:szCs w:val="26"/>
          <w:rtl/>
          <w:lang w:bidi="ar-EG"/>
        </w:rPr>
        <w:t>مننفصلتين</w:t>
      </w:r>
      <w:proofErr w:type="spellEnd"/>
      <w:r w:rsidRPr="00E24FBE">
        <w:rPr>
          <w:rFonts w:hint="cs"/>
          <w:color w:val="000000" w:themeColor="text1"/>
          <w:spacing w:val="-4"/>
          <w:sz w:val="26"/>
          <w:szCs w:val="26"/>
          <w:rtl/>
          <w:lang w:bidi="ar-EG"/>
        </w:rPr>
        <w:t xml:space="preserve">، حيث نص المعيار في الفقرة رقم (81) على أنه "يجب على المنشأة أن تفصح عن كافة بنود الدخل والمصروفات التي تم الاعتراف بها خلال الفترة في قائمتين منفصلتين إحداهما تعرض مكونات الربح أو الخسارة (قائمة الدخل)، والثانية تعرض عناصر الدخل الشامل الآخر (قائمة الدخل الشامل)، أي أن المعيار </w:t>
      </w:r>
      <w:proofErr w:type="spellStart"/>
      <w:r w:rsidRPr="00E24FBE">
        <w:rPr>
          <w:rFonts w:hint="cs"/>
          <w:color w:val="000000" w:themeColor="text1"/>
          <w:spacing w:val="-4"/>
          <w:sz w:val="26"/>
          <w:szCs w:val="26"/>
          <w:rtl/>
          <w:lang w:bidi="ar-EG"/>
        </w:rPr>
        <w:t>المصرى</w:t>
      </w:r>
      <w:proofErr w:type="spellEnd"/>
      <w:r w:rsidRPr="00E24FBE">
        <w:rPr>
          <w:rFonts w:hint="cs"/>
          <w:color w:val="000000" w:themeColor="text1"/>
          <w:spacing w:val="-4"/>
          <w:sz w:val="26"/>
          <w:szCs w:val="26"/>
          <w:rtl/>
          <w:lang w:bidi="ar-EG"/>
        </w:rPr>
        <w:t xml:space="preserve"> قد أتاح بديل واحد فقط للإفصاح عن الدخل الشامل ومكوناته، وهو الإفصاح من خلال قائمتين منفصلتين، ولم يتح بديلين للإفصاح عن الدخل الشامل مثل ما هو متاح في المعايير الدولية والأمريكية</w:t>
      </w:r>
      <w:r w:rsidRPr="00E24FBE">
        <w:rPr>
          <w:rFonts w:hint="cs"/>
          <w:color w:val="000000" w:themeColor="text1"/>
          <w:spacing w:val="-4"/>
          <w:sz w:val="26"/>
          <w:szCs w:val="26"/>
          <w:vertAlign w:val="superscript"/>
          <w:rtl/>
          <w:lang w:bidi="ar-EG"/>
        </w:rPr>
        <w:t xml:space="preserve"> </w:t>
      </w:r>
      <w:r w:rsidRPr="00E24FBE">
        <w:rPr>
          <w:rFonts w:hint="cs"/>
          <w:color w:val="000000" w:themeColor="text1"/>
          <w:spacing w:val="-4"/>
          <w:sz w:val="26"/>
          <w:szCs w:val="26"/>
          <w:rtl/>
          <w:lang w:bidi="ar-EG"/>
        </w:rPr>
        <w:t xml:space="preserve">(عبد </w:t>
      </w:r>
      <w:proofErr w:type="spellStart"/>
      <w:r w:rsidRPr="00E24FBE">
        <w:rPr>
          <w:rFonts w:hint="cs"/>
          <w:color w:val="000000" w:themeColor="text1"/>
          <w:spacing w:val="-4"/>
          <w:sz w:val="26"/>
          <w:szCs w:val="26"/>
          <w:rtl/>
          <w:lang w:bidi="ar-EG"/>
        </w:rPr>
        <w:t>العاطى</w:t>
      </w:r>
      <w:proofErr w:type="spellEnd"/>
      <w:r w:rsidRPr="00E24FBE">
        <w:rPr>
          <w:rFonts w:hint="cs"/>
          <w:color w:val="000000" w:themeColor="text1"/>
          <w:spacing w:val="-4"/>
          <w:sz w:val="26"/>
          <w:szCs w:val="26"/>
          <w:rtl/>
          <w:lang w:bidi="ar-EG"/>
        </w:rPr>
        <w:t>، 2019، ص 4).</w:t>
      </w:r>
    </w:p>
    <w:p w14:paraId="6C106093" w14:textId="77777777" w:rsidR="00B61D83" w:rsidRPr="00E24FBE" w:rsidRDefault="00B61D83" w:rsidP="00C85ED3">
      <w:pPr>
        <w:spacing w:line="228" w:lineRule="auto"/>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وقد اهتم الفكر المحاسبي ببيان أثر الإفصاح عن الدخل الشامل وفقاً للبدائل المتاحة على قرارات </w:t>
      </w:r>
      <w:proofErr w:type="spellStart"/>
      <w:r w:rsidRPr="00E24FBE">
        <w:rPr>
          <w:rFonts w:hint="cs"/>
          <w:color w:val="000000" w:themeColor="text1"/>
          <w:sz w:val="26"/>
          <w:szCs w:val="26"/>
          <w:rtl/>
          <w:lang w:bidi="ar-EG"/>
        </w:rPr>
        <w:t>مستخدمى</w:t>
      </w:r>
      <w:proofErr w:type="spellEnd"/>
      <w:r w:rsidRPr="00E24FBE">
        <w:rPr>
          <w:rFonts w:hint="cs"/>
          <w:color w:val="000000" w:themeColor="text1"/>
          <w:sz w:val="26"/>
          <w:szCs w:val="26"/>
          <w:rtl/>
          <w:lang w:bidi="ar-EG"/>
        </w:rPr>
        <w:t xml:space="preserve"> القوائم المالية، والتي أظهرت أن هناك تأثير مختلف على قرارات الاستثمار بحسب البديل المستخدم في الإفصاح عن الدخل الشامل: </w:t>
      </w:r>
    </w:p>
    <w:p w14:paraId="71CF6554" w14:textId="14A5985A" w:rsidR="00B61D83" w:rsidRPr="00E24FBE" w:rsidRDefault="00B61D83" w:rsidP="00C85ED3">
      <w:pPr>
        <w:spacing w:line="228" w:lineRule="auto"/>
        <w:ind w:firstLine="720"/>
        <w:jc w:val="lowKashida"/>
        <w:rPr>
          <w:color w:val="000000" w:themeColor="text1"/>
          <w:sz w:val="26"/>
          <w:szCs w:val="26"/>
          <w:lang w:bidi="ar-EG"/>
        </w:rPr>
      </w:pPr>
      <w:r w:rsidRPr="00E24FBE">
        <w:rPr>
          <w:rFonts w:hint="cs"/>
          <w:color w:val="000000" w:themeColor="text1"/>
          <w:sz w:val="26"/>
          <w:szCs w:val="26"/>
          <w:rtl/>
          <w:lang w:bidi="ar-EG"/>
        </w:rPr>
        <w:t xml:space="preserve">فقد أشارت دراسة </w:t>
      </w:r>
      <w:r w:rsidRPr="00E24FBE">
        <w:rPr>
          <w:color w:val="000000" w:themeColor="text1"/>
          <w:sz w:val="26"/>
          <w:szCs w:val="26"/>
          <w:lang w:bidi="ar-EG"/>
        </w:rPr>
        <w:t>(Chambers, et al., 2007 p 558)</w:t>
      </w:r>
      <w:r w:rsidRPr="00E24FBE">
        <w:rPr>
          <w:rStyle w:val="FootnoteReference"/>
          <w:color w:val="000000" w:themeColor="text1"/>
          <w:sz w:val="26"/>
          <w:szCs w:val="26"/>
          <w:rtl/>
          <w:lang w:bidi="ar-EG"/>
        </w:rPr>
        <w:t xml:space="preserve"> </w:t>
      </w:r>
      <w:r w:rsidRPr="00E24FBE">
        <w:rPr>
          <w:rFonts w:hint="cs"/>
          <w:color w:val="000000" w:themeColor="text1"/>
          <w:sz w:val="26"/>
          <w:szCs w:val="26"/>
          <w:rtl/>
          <w:lang w:bidi="ar-EG"/>
        </w:rPr>
        <w:t>إلى أن المستثمرين يهتمون أكثر بعناصر الدخل الشامل الآخر عندما يتم الإفصاح عنها في قائمة التغيرات في حقوق الملكية بدلاً من عرضها في قائمة الأداء المالي (قائمة الدخل)، وذلك لأنهم اعتادوا الحصول على هذه المعلومات من قائمة التغيرات في حقوق الملكية، كما أشارت الدراسة أيضاً إلى أن التقرير عن الدخل الشامل الآخر أدى إلى شفافية التقارير المالية.</w:t>
      </w:r>
    </w:p>
    <w:p w14:paraId="3C6F476B" w14:textId="20F427CC" w:rsidR="00B61D83" w:rsidRPr="00E24FBE" w:rsidRDefault="00B61D83" w:rsidP="00C85ED3">
      <w:pPr>
        <w:spacing w:line="228" w:lineRule="auto"/>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واتفقت معها دراسة </w:t>
      </w:r>
      <w:r w:rsidRPr="00E24FBE">
        <w:rPr>
          <w:color w:val="000000" w:themeColor="text1"/>
          <w:sz w:val="26"/>
          <w:szCs w:val="26"/>
          <w:lang w:bidi="ar-EG"/>
        </w:rPr>
        <w:t xml:space="preserve"> (Bamber, et al., 2010, p 121)</w:t>
      </w:r>
      <w:r w:rsidRPr="00E24FBE">
        <w:rPr>
          <w:color w:val="000000" w:themeColor="text1"/>
          <w:sz w:val="26"/>
          <w:szCs w:val="26"/>
          <w:vertAlign w:val="superscript"/>
          <w:rtl/>
          <w:lang w:bidi="ar-EG"/>
        </w:rPr>
        <w:t xml:space="preserve"> </w:t>
      </w:r>
      <w:r w:rsidRPr="00E24FBE">
        <w:rPr>
          <w:rFonts w:hint="cs"/>
          <w:color w:val="000000" w:themeColor="text1"/>
          <w:sz w:val="26"/>
          <w:szCs w:val="26"/>
          <w:rtl/>
          <w:lang w:bidi="ar-EG"/>
        </w:rPr>
        <w:t xml:space="preserve">حيث أشارت إلى أن أكثر من 80% من الشركات يفضلون الإفصاح عن الدخل الشامل الآخر في قائمة التغيرات في حقوق الملكية، وذلك لأن </w:t>
      </w:r>
      <w:r w:rsidRPr="00E24FBE">
        <w:rPr>
          <w:rFonts w:hint="cs"/>
          <w:color w:val="000000" w:themeColor="text1"/>
          <w:sz w:val="26"/>
          <w:szCs w:val="26"/>
          <w:rtl/>
          <w:lang w:bidi="ar-EG"/>
        </w:rPr>
        <w:lastRenderedPageBreak/>
        <w:t xml:space="preserve">المديرين يكون لديهم دوافع قوية للعرض في قائمة التغيرات في حقوق الملكية إذا كان لديهم تهديد لاستقرارهم </w:t>
      </w:r>
      <w:proofErr w:type="spellStart"/>
      <w:r w:rsidRPr="00E24FBE">
        <w:rPr>
          <w:rFonts w:hint="cs"/>
          <w:color w:val="000000" w:themeColor="text1"/>
          <w:sz w:val="26"/>
          <w:szCs w:val="26"/>
          <w:rtl/>
          <w:lang w:bidi="ar-EG"/>
        </w:rPr>
        <w:t>الوظيفى</w:t>
      </w:r>
      <w:proofErr w:type="spellEnd"/>
      <w:r w:rsidRPr="00E24FBE">
        <w:rPr>
          <w:rFonts w:hint="cs"/>
          <w:color w:val="000000" w:themeColor="text1"/>
          <w:sz w:val="26"/>
          <w:szCs w:val="26"/>
          <w:rtl/>
          <w:lang w:bidi="ar-EG"/>
        </w:rPr>
        <w:t xml:space="preserve"> لما يقوموا به من إدارة الأرباح</w:t>
      </w:r>
      <w:r w:rsidRPr="00E24FBE">
        <w:rPr>
          <w:color w:val="000000" w:themeColor="text1"/>
          <w:sz w:val="26"/>
          <w:szCs w:val="26"/>
          <w:rtl/>
          <w:lang w:bidi="ar-EG"/>
        </w:rPr>
        <w:t xml:space="preserve"> </w:t>
      </w:r>
      <w:r w:rsidRPr="00E24FBE">
        <w:rPr>
          <w:rFonts w:hint="cs"/>
          <w:color w:val="000000" w:themeColor="text1"/>
          <w:sz w:val="26"/>
          <w:szCs w:val="26"/>
          <w:rtl/>
          <w:lang w:bidi="ar-EG"/>
        </w:rPr>
        <w:t xml:space="preserve">وذلك من خلال البيع الانتقائي للأوراق المالية المتاحة للبيع، حيث يكونوا </w:t>
      </w:r>
      <w:proofErr w:type="spellStart"/>
      <w:r w:rsidRPr="00E24FBE">
        <w:rPr>
          <w:rFonts w:hint="cs"/>
          <w:color w:val="000000" w:themeColor="text1"/>
          <w:sz w:val="26"/>
          <w:szCs w:val="26"/>
          <w:rtl/>
          <w:lang w:bidi="ar-EG"/>
        </w:rPr>
        <w:t>شديدى</w:t>
      </w:r>
      <w:proofErr w:type="spellEnd"/>
      <w:r w:rsidRPr="00E24FBE">
        <w:rPr>
          <w:rFonts w:hint="cs"/>
          <w:color w:val="000000" w:themeColor="text1"/>
          <w:sz w:val="26"/>
          <w:szCs w:val="26"/>
          <w:rtl/>
          <w:lang w:bidi="ar-EG"/>
        </w:rPr>
        <w:t xml:space="preserve"> القلق نتيجة للتقلب في الدخل الشامل الآخر عندما يتم إدراجه في قائمة الدخل، وبالتالي يفضلون الإفصاح في قائمة التغيرات في حقوق الملكية، كما أنهم يعتقدوا أن الإفصاح في قائمة الدخل يضر بسعر سهم المنشأة.</w:t>
      </w:r>
    </w:p>
    <w:p w14:paraId="1413B01C" w14:textId="4085A642" w:rsidR="00B61D83" w:rsidRPr="00C85ED3" w:rsidRDefault="00B61D83" w:rsidP="00C24E42">
      <w:pPr>
        <w:ind w:firstLine="720"/>
        <w:jc w:val="lowKashida"/>
        <w:rPr>
          <w:color w:val="000000" w:themeColor="text1"/>
          <w:spacing w:val="-4"/>
          <w:sz w:val="26"/>
          <w:szCs w:val="26"/>
          <w:lang w:bidi="ar-EG"/>
        </w:rPr>
      </w:pPr>
      <w:r w:rsidRPr="00C85ED3">
        <w:rPr>
          <w:rFonts w:hint="cs"/>
          <w:color w:val="000000" w:themeColor="text1"/>
          <w:spacing w:val="-4"/>
          <w:sz w:val="26"/>
          <w:szCs w:val="26"/>
          <w:rtl/>
          <w:lang w:bidi="ar-EG"/>
        </w:rPr>
        <w:t xml:space="preserve"> وتوصل </w:t>
      </w:r>
      <w:r w:rsidRPr="00C85ED3">
        <w:rPr>
          <w:color w:val="000000" w:themeColor="text1"/>
          <w:spacing w:val="-4"/>
          <w:sz w:val="26"/>
          <w:szCs w:val="26"/>
          <w:lang w:bidi="ar-EG"/>
        </w:rPr>
        <w:t>Ferraro (2011, p 1315)</w:t>
      </w:r>
      <w:r w:rsidRPr="00C85ED3">
        <w:rPr>
          <w:rStyle w:val="FootnoteReference"/>
          <w:color w:val="000000" w:themeColor="text1"/>
          <w:spacing w:val="-4"/>
          <w:sz w:val="26"/>
          <w:szCs w:val="26"/>
          <w:rtl/>
          <w:lang w:bidi="ar-EG"/>
        </w:rPr>
        <w:t xml:space="preserve"> </w:t>
      </w:r>
      <w:r w:rsidRPr="00C85ED3">
        <w:rPr>
          <w:rFonts w:hint="cs"/>
          <w:color w:val="000000" w:themeColor="text1"/>
          <w:spacing w:val="-4"/>
          <w:sz w:val="26"/>
          <w:szCs w:val="26"/>
          <w:rtl/>
          <w:lang w:bidi="ar-EG"/>
        </w:rPr>
        <w:t xml:space="preserve">إلى أن غالبية الشركات المدرجة </w:t>
      </w:r>
      <w:proofErr w:type="spellStart"/>
      <w:r w:rsidRPr="00C85ED3">
        <w:rPr>
          <w:rFonts w:hint="cs"/>
          <w:color w:val="000000" w:themeColor="text1"/>
          <w:spacing w:val="-4"/>
          <w:sz w:val="26"/>
          <w:szCs w:val="26"/>
          <w:rtl/>
          <w:lang w:bidi="ar-EG"/>
        </w:rPr>
        <w:t>فى</w:t>
      </w:r>
      <w:proofErr w:type="spellEnd"/>
      <w:r w:rsidRPr="00C85ED3">
        <w:rPr>
          <w:rFonts w:hint="cs"/>
          <w:color w:val="000000" w:themeColor="text1"/>
          <w:spacing w:val="-4"/>
          <w:sz w:val="26"/>
          <w:szCs w:val="26"/>
          <w:rtl/>
          <w:lang w:bidi="ar-EG"/>
        </w:rPr>
        <w:t xml:space="preserve"> البورصة الإيطالية تفضل الإفصاح عن الدخل الشامل الآخر في قائمتين منفصلتين متتاليتين، وبذلك حافظت على التميز بين الدخل المحقق والدخل الذى لم يتحقق بعد، وعدم إغفال قائمة الدخل التقليدية لمبالغ كبيرة ذات طبيعة مؤقتة، علاوة على ذلك أشارت أيضاً إلى أن هناك علاقة بين بدائل العرض واتجاه وحجم الدخل الشامل الآخر.</w:t>
      </w:r>
    </w:p>
    <w:p w14:paraId="6774DC30" w14:textId="61E9F14F" w:rsidR="00B61D83" w:rsidRPr="00E24FBE" w:rsidRDefault="00B61D83" w:rsidP="00C24E42">
      <w:pPr>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وذكرت دراسة </w:t>
      </w:r>
      <w:r w:rsidRPr="00E24FBE">
        <w:rPr>
          <w:color w:val="000000" w:themeColor="text1"/>
          <w:sz w:val="26"/>
          <w:szCs w:val="26"/>
          <w:lang w:bidi="ar-EG"/>
        </w:rPr>
        <w:t>(Banks, et al., 2018, p 531</w:t>
      </w:r>
      <w:proofErr w:type="gramStart"/>
      <w:r w:rsidRPr="00E24FBE">
        <w:rPr>
          <w:color w:val="000000" w:themeColor="text1"/>
          <w:sz w:val="26"/>
          <w:szCs w:val="26"/>
          <w:lang w:bidi="ar-EG"/>
        </w:rPr>
        <w:t>)</w:t>
      </w:r>
      <w:r w:rsidRPr="00E24FBE">
        <w:rPr>
          <w:color w:val="000000" w:themeColor="text1"/>
          <w:sz w:val="26"/>
          <w:szCs w:val="26"/>
          <w:rtl/>
          <w:lang w:bidi="ar-EG"/>
        </w:rPr>
        <w:t xml:space="preserve"> </w:t>
      </w:r>
      <w:r w:rsidRPr="00E24FBE">
        <w:rPr>
          <w:rFonts w:hint="cs"/>
          <w:color w:val="000000" w:themeColor="text1"/>
          <w:sz w:val="26"/>
          <w:szCs w:val="26"/>
          <w:vertAlign w:val="superscript"/>
          <w:rtl/>
          <w:lang w:bidi="ar-EG"/>
        </w:rPr>
        <w:t xml:space="preserve"> </w:t>
      </w:r>
      <w:r w:rsidRPr="00E24FBE">
        <w:rPr>
          <w:rFonts w:hint="cs"/>
          <w:color w:val="000000" w:themeColor="text1"/>
          <w:sz w:val="26"/>
          <w:szCs w:val="26"/>
          <w:rtl/>
          <w:lang w:bidi="ar-EG"/>
        </w:rPr>
        <w:t>إلى</w:t>
      </w:r>
      <w:proofErr w:type="gramEnd"/>
      <w:r w:rsidRPr="00E24FBE">
        <w:rPr>
          <w:rFonts w:hint="cs"/>
          <w:color w:val="000000" w:themeColor="text1"/>
          <w:sz w:val="26"/>
          <w:szCs w:val="26"/>
          <w:rtl/>
          <w:lang w:bidi="ar-EG"/>
        </w:rPr>
        <w:t xml:space="preserve"> أنه لا يوجد دليل على أن تغير موقع الإفصاح للدخل الشامل الآخر قد أضاف قيمة متزايدة، كما أنه لا يوجد دليل على أن المحللين الماليين يبنون توقعاتهم باستخدام بنود الدخل الشامل الآخر، كما أن الإفصاح عن الدخل الشامل الآخر في قائمة الدخل الشامل لا يوفر معلومات أكثر فائدة للمستثمرين والمحللين الماليين.</w:t>
      </w:r>
    </w:p>
    <w:p w14:paraId="09300C43" w14:textId="2CEAEB0B" w:rsidR="00B61D83" w:rsidRPr="00E24FBE" w:rsidRDefault="00B61D83" w:rsidP="00C24E42">
      <w:pPr>
        <w:ind w:firstLine="720"/>
        <w:jc w:val="lowKashida"/>
        <w:rPr>
          <w:color w:val="000000" w:themeColor="text1"/>
          <w:sz w:val="26"/>
          <w:szCs w:val="26"/>
          <w:rtl/>
          <w:lang w:bidi="ar-EG"/>
        </w:rPr>
      </w:pPr>
      <w:r w:rsidRPr="00E24FBE">
        <w:rPr>
          <w:rFonts w:hint="cs"/>
          <w:color w:val="000000" w:themeColor="text1"/>
          <w:sz w:val="26"/>
          <w:szCs w:val="26"/>
          <w:rtl/>
          <w:lang w:bidi="ar-EG"/>
        </w:rPr>
        <w:t xml:space="preserve">بينما توصلت دراسة (إسماعيل، 2020، ص 97 ) إلى أن الإفصاح عن بنود الدخل الشامل الآخر في قائمة منفصلة يحقق خاصية العرض العادل للمعلومات ويعطى تقييماً شاملاً لأداء المنشأة ويعمل على التقليل من إمكانية إخفاء النتائج غير المرغوب فيها لعرضها في مكان بارز يزيد من أهميتها ويسمح بعرض تفاصيل أكثر تزيد من خاصية الملاءمة وتمنع الالتباس والخلط مع بنود الدخل التقليدي، كما أنه يؤثر بشكل </w:t>
      </w:r>
      <w:proofErr w:type="spellStart"/>
      <w:r w:rsidRPr="00E24FBE">
        <w:rPr>
          <w:rFonts w:hint="cs"/>
          <w:color w:val="000000" w:themeColor="text1"/>
          <w:sz w:val="26"/>
          <w:szCs w:val="26"/>
          <w:rtl/>
          <w:lang w:bidi="ar-EG"/>
        </w:rPr>
        <w:t>معنوى</w:t>
      </w:r>
      <w:proofErr w:type="spellEnd"/>
      <w:r w:rsidRPr="00E24FBE">
        <w:rPr>
          <w:rFonts w:hint="cs"/>
          <w:color w:val="000000" w:themeColor="text1"/>
          <w:sz w:val="26"/>
          <w:szCs w:val="26"/>
          <w:rtl/>
          <w:lang w:bidi="ar-EG"/>
        </w:rPr>
        <w:t xml:space="preserve"> على تصرفات وسلوكيات الإدارة وذلك بسبب طبيعة المعلومات التي تحملها تلك البنود من ناحية، والموقع البارز المستقل لقائمة الدخل من ناحية أخرى.</w:t>
      </w:r>
    </w:p>
    <w:p w14:paraId="140F5523" w14:textId="77777777" w:rsidR="00B61D83" w:rsidRPr="00E24FBE" w:rsidRDefault="00B61D83" w:rsidP="00C24E42">
      <w:pPr>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وبناء على ما تناولته هذه الدراسات ترى الباحثة أن البديل </w:t>
      </w:r>
      <w:proofErr w:type="spellStart"/>
      <w:r w:rsidRPr="00E24FBE">
        <w:rPr>
          <w:rFonts w:hint="cs"/>
          <w:color w:val="000000" w:themeColor="text1"/>
          <w:sz w:val="26"/>
          <w:szCs w:val="26"/>
          <w:rtl/>
          <w:lang w:bidi="ar-EG"/>
        </w:rPr>
        <w:t>الثانى</w:t>
      </w:r>
      <w:proofErr w:type="spellEnd"/>
      <w:r w:rsidRPr="00E24FBE">
        <w:rPr>
          <w:rFonts w:hint="cs"/>
          <w:color w:val="000000" w:themeColor="text1"/>
          <w:sz w:val="26"/>
          <w:szCs w:val="26"/>
          <w:rtl/>
          <w:lang w:bidi="ar-EG"/>
        </w:rPr>
        <w:t xml:space="preserve"> وهو الإفصاح عن بنود الدخل الشامل الآخر في قائمة منفصلة ومستقلة تالية لقائمة الدخل التقليدية هو البديل الأفضل لما يوفره من معلومات تفصيلية عن الدخل الشامل تعكس القيمة الحقيقية للمنشأة، كما أنه يعمل على الحد من إدارة الأرباح بعرض هذه المعلومات في مكان بارز وهو ما ينعكس على زيادة شفافية القوائم والتقارير المالية واتساقها وقابليتها للمقارنة مما يفيد المستثمرين والمحللين الماليين </w:t>
      </w:r>
      <w:proofErr w:type="spellStart"/>
      <w:r w:rsidRPr="00E24FBE">
        <w:rPr>
          <w:rFonts w:hint="cs"/>
          <w:color w:val="000000" w:themeColor="text1"/>
          <w:sz w:val="26"/>
          <w:szCs w:val="26"/>
          <w:rtl/>
          <w:lang w:bidi="ar-EG"/>
        </w:rPr>
        <w:t>فى</w:t>
      </w:r>
      <w:proofErr w:type="spellEnd"/>
      <w:r w:rsidRPr="00E24FBE">
        <w:rPr>
          <w:rFonts w:hint="cs"/>
          <w:color w:val="000000" w:themeColor="text1"/>
          <w:sz w:val="26"/>
          <w:szCs w:val="26"/>
          <w:rtl/>
          <w:lang w:bidi="ar-EG"/>
        </w:rPr>
        <w:t xml:space="preserve"> ترشيد قراراتهم الاستثمارية.</w:t>
      </w:r>
    </w:p>
    <w:p w14:paraId="009C025C" w14:textId="0690262C" w:rsidR="00B61D83" w:rsidRPr="006C01C2" w:rsidRDefault="00F96BDA" w:rsidP="006C01C2">
      <w:pPr>
        <w:jc w:val="lowKashida"/>
        <w:rPr>
          <w:b/>
          <w:bCs/>
          <w:color w:val="000000" w:themeColor="text1"/>
          <w:lang w:bidi="ar-EG"/>
        </w:rPr>
      </w:pPr>
      <w:r w:rsidRPr="006C01C2">
        <w:rPr>
          <w:rFonts w:hint="cs"/>
          <w:b/>
          <w:bCs/>
          <w:color w:val="000000" w:themeColor="text1"/>
          <w:rtl/>
          <w:lang w:bidi="ar-EG"/>
        </w:rPr>
        <w:t>4</w:t>
      </w:r>
      <w:r w:rsidR="006C01C2">
        <w:rPr>
          <w:rFonts w:hint="cs"/>
          <w:b/>
          <w:bCs/>
          <w:color w:val="000000" w:themeColor="text1"/>
          <w:rtl/>
          <w:lang w:bidi="ar-EG"/>
        </w:rPr>
        <w:t>-</w:t>
      </w:r>
      <w:r w:rsidR="00782DDD" w:rsidRPr="006C01C2">
        <w:rPr>
          <w:rFonts w:hint="cs"/>
          <w:b/>
          <w:bCs/>
          <w:color w:val="000000" w:themeColor="text1"/>
          <w:rtl/>
          <w:lang w:bidi="ar-EG"/>
        </w:rPr>
        <w:t xml:space="preserve"> ماهية أسعار الأسهم وعلاقتها بسوق الأوراق المالية والعوامل المؤثرة فيها:</w:t>
      </w:r>
    </w:p>
    <w:p w14:paraId="07D3ED41" w14:textId="5673679C" w:rsidR="000F4B5B" w:rsidRPr="00491EF4" w:rsidRDefault="00782DDD" w:rsidP="00E32963">
      <w:pPr>
        <w:ind w:firstLine="720"/>
        <w:jc w:val="lowKashida"/>
        <w:rPr>
          <w:color w:val="000000" w:themeColor="text1"/>
          <w:spacing w:val="-4"/>
          <w:sz w:val="26"/>
          <w:szCs w:val="26"/>
          <w:rtl/>
          <w:lang w:bidi="ar-EG"/>
        </w:rPr>
      </w:pPr>
      <w:r w:rsidRPr="00491EF4">
        <w:rPr>
          <w:rFonts w:hint="cs"/>
          <w:color w:val="000000" w:themeColor="text1"/>
          <w:spacing w:val="-4"/>
          <w:sz w:val="26"/>
          <w:szCs w:val="26"/>
          <w:rtl/>
          <w:lang w:bidi="ar-EG"/>
        </w:rPr>
        <w:t>يُعد الاستثمار في الأسهم أحد أهم طرق الاستثمار التي يمكن أن تدر عوائد كبيرة  على المستثمرين وذلك باعتبارها الأوراق المالية الأكثر انتشاراً وتداولاً في السوق، ولكن هذه العوائد في حالة تغير مستمر نظراً للتقلبات الواسعة في أسعار الأسهم، وترجع هذه التقلبات إلى مجموعة من العوامل التي تؤثر على هذه الأسعار، فمعرفة هذه العوامل وتحديدها أمر بالغ الأهمية حيث تساعد المستثمرين على اتخاذ قرارات استثمارية رشيدة كما أنها تمكن المنشآت من تعزيز قيمتها السوقية</w:t>
      </w:r>
      <w:r w:rsidRPr="00491EF4">
        <w:rPr>
          <w:color w:val="000000" w:themeColor="text1"/>
          <w:spacing w:val="-4"/>
          <w:sz w:val="26"/>
          <w:szCs w:val="26"/>
        </w:rPr>
        <w:t xml:space="preserve"> (Bhattarai, 2014, p 187)</w:t>
      </w:r>
      <w:r w:rsidRPr="00491EF4">
        <w:rPr>
          <w:color w:val="000000" w:themeColor="text1"/>
          <w:spacing w:val="-4"/>
          <w:sz w:val="26"/>
          <w:szCs w:val="26"/>
          <w:rtl/>
        </w:rPr>
        <w:t xml:space="preserve">. </w:t>
      </w:r>
      <w:r w:rsidRPr="00491EF4">
        <w:rPr>
          <w:rFonts w:hint="cs"/>
          <w:color w:val="000000" w:themeColor="text1"/>
          <w:spacing w:val="-4"/>
          <w:sz w:val="26"/>
          <w:szCs w:val="26"/>
          <w:rtl/>
          <w:lang w:bidi="ar-EG"/>
        </w:rPr>
        <w:t xml:space="preserve">  </w:t>
      </w:r>
    </w:p>
    <w:p w14:paraId="25752A1D" w14:textId="1962964A" w:rsidR="009A2AB3" w:rsidRPr="00C85ED3" w:rsidRDefault="0092195F" w:rsidP="00C85ED3">
      <w:pPr>
        <w:spacing w:before="120"/>
        <w:jc w:val="lowKashida"/>
        <w:rPr>
          <w:b/>
          <w:bCs/>
          <w:color w:val="000000" w:themeColor="text1"/>
          <w:rtl/>
          <w:lang w:bidi="ar-EG"/>
        </w:rPr>
      </w:pPr>
      <w:r w:rsidRPr="00C85ED3">
        <w:rPr>
          <w:rFonts w:hint="cs"/>
          <w:b/>
          <w:bCs/>
          <w:color w:val="000000" w:themeColor="text1"/>
          <w:rtl/>
          <w:lang w:bidi="ar-EG"/>
        </w:rPr>
        <w:lastRenderedPageBreak/>
        <w:t>4/1</w:t>
      </w:r>
      <w:r w:rsidR="00782DDD" w:rsidRPr="00C85ED3">
        <w:rPr>
          <w:rFonts w:hint="cs"/>
          <w:b/>
          <w:bCs/>
          <w:color w:val="000000" w:themeColor="text1"/>
          <w:rtl/>
          <w:lang w:bidi="ar-EG"/>
        </w:rPr>
        <w:t xml:space="preserve"> </w:t>
      </w:r>
      <w:r w:rsidR="00DD0DBF" w:rsidRPr="00C85ED3">
        <w:rPr>
          <w:rFonts w:hint="cs"/>
          <w:b/>
          <w:bCs/>
          <w:color w:val="000000" w:themeColor="text1"/>
          <w:rtl/>
          <w:lang w:bidi="ar-EG"/>
        </w:rPr>
        <w:t>ماهية أسعار الأسهم والعوامل المؤثرة فيها:</w:t>
      </w:r>
    </w:p>
    <w:p w14:paraId="1B092CCC" w14:textId="77FC4AD8" w:rsidR="00DD0DBF" w:rsidRPr="00C85ED3" w:rsidRDefault="00DD0DBF" w:rsidP="00E32963">
      <w:pPr>
        <w:jc w:val="mediumKashida"/>
        <w:rPr>
          <w:b/>
          <w:bCs/>
          <w:color w:val="000000" w:themeColor="text1"/>
          <w:spacing w:val="-4"/>
          <w:rtl/>
          <w:lang w:bidi="ar-EG"/>
        </w:rPr>
      </w:pPr>
      <w:r w:rsidRPr="00C85ED3">
        <w:rPr>
          <w:rFonts w:hint="cs"/>
          <w:b/>
          <w:bCs/>
          <w:color w:val="000000" w:themeColor="text1"/>
          <w:spacing w:val="-4"/>
          <w:rtl/>
          <w:lang w:bidi="ar-EG"/>
        </w:rPr>
        <w:t>4/1/1 تعريف سعر السهم:</w:t>
      </w:r>
    </w:p>
    <w:p w14:paraId="34B3690F" w14:textId="0CE72C0D" w:rsidR="00782DDD" w:rsidRPr="00E24FBE" w:rsidRDefault="00782DDD" w:rsidP="00C24E42">
      <w:pPr>
        <w:ind w:firstLine="720"/>
        <w:jc w:val="lowKashida"/>
        <w:rPr>
          <w:color w:val="000000" w:themeColor="text1"/>
          <w:sz w:val="26"/>
          <w:szCs w:val="26"/>
          <w:rtl/>
          <w:lang w:bidi="ar-EG"/>
        </w:rPr>
      </w:pPr>
      <w:r w:rsidRPr="00E24FBE">
        <w:rPr>
          <w:rFonts w:hint="cs"/>
          <w:color w:val="000000" w:themeColor="text1"/>
          <w:sz w:val="26"/>
          <w:szCs w:val="26"/>
          <w:rtl/>
          <w:lang w:bidi="ar-EG"/>
        </w:rPr>
        <w:t xml:space="preserve">أهتمت العديد من الدراسات بتناول تعريف سعر السهم حيث عرفت دراسة </w:t>
      </w:r>
      <w:r w:rsidRPr="00E24FBE">
        <w:rPr>
          <w:color w:val="000000" w:themeColor="text1"/>
          <w:sz w:val="26"/>
          <w:szCs w:val="26"/>
          <w:lang w:bidi="ar-EG"/>
        </w:rPr>
        <w:t>(</w:t>
      </w:r>
      <w:proofErr w:type="spellStart"/>
      <w:r w:rsidRPr="00E24FBE">
        <w:rPr>
          <w:color w:val="000000" w:themeColor="text1"/>
          <w:sz w:val="26"/>
          <w:szCs w:val="26"/>
          <w:lang w:bidi="ar-EG"/>
        </w:rPr>
        <w:t>Rusdiyanto</w:t>
      </w:r>
      <w:proofErr w:type="spellEnd"/>
      <w:r w:rsidRPr="00E24FBE">
        <w:rPr>
          <w:color w:val="000000" w:themeColor="text1"/>
          <w:sz w:val="26"/>
          <w:szCs w:val="26"/>
          <w:lang w:bidi="ar-EG"/>
        </w:rPr>
        <w:t xml:space="preserve"> and </w:t>
      </w:r>
      <w:proofErr w:type="spellStart"/>
      <w:r w:rsidRPr="00E24FBE">
        <w:rPr>
          <w:color w:val="000000" w:themeColor="text1"/>
          <w:sz w:val="26"/>
          <w:szCs w:val="26"/>
          <w:lang w:bidi="ar-EG"/>
        </w:rPr>
        <w:t>Narsa</w:t>
      </w:r>
      <w:proofErr w:type="spellEnd"/>
      <w:r w:rsidRPr="00E24FBE">
        <w:rPr>
          <w:color w:val="000000" w:themeColor="text1"/>
          <w:sz w:val="26"/>
          <w:szCs w:val="26"/>
          <w:lang w:bidi="ar-EG"/>
        </w:rPr>
        <w:t>, 2019, p 20)</w:t>
      </w:r>
      <w:r w:rsidRPr="00E24FBE">
        <w:rPr>
          <w:rFonts w:hint="cs"/>
          <w:color w:val="000000" w:themeColor="text1"/>
          <w:sz w:val="26"/>
          <w:szCs w:val="26"/>
          <w:rtl/>
          <w:lang w:bidi="ar-EG"/>
        </w:rPr>
        <w:t xml:space="preserve">  سعر السهم بإنه رد فعل السوق على الحالة العامة للمنشأة التي تصف ثروة المساهمين، ونتائج قرارات الاستثمار، والتمويل من الإدارة. وأشارت إلى أنه عندما يكون سعر السهم مرتفعاً فهذا يعنى أن السهم يتم تداوله بنشاط لذلك لن يتم الاحتفاظ بالسهم لفترة طويلة.</w:t>
      </w:r>
    </w:p>
    <w:p w14:paraId="1960E164" w14:textId="48C8A3C6" w:rsidR="00782DDD" w:rsidRPr="00E24FBE" w:rsidRDefault="00782DDD" w:rsidP="00E32963">
      <w:pPr>
        <w:ind w:firstLine="720"/>
        <w:jc w:val="lowKashida"/>
        <w:rPr>
          <w:color w:val="000000" w:themeColor="text1"/>
          <w:spacing w:val="-4"/>
          <w:sz w:val="26"/>
          <w:szCs w:val="26"/>
          <w:rtl/>
          <w:lang w:bidi="ar-EG"/>
        </w:rPr>
      </w:pPr>
      <w:r w:rsidRPr="00E24FBE">
        <w:rPr>
          <w:rFonts w:hint="cs"/>
          <w:color w:val="000000" w:themeColor="text1"/>
          <w:sz w:val="26"/>
          <w:szCs w:val="26"/>
          <w:rtl/>
          <w:lang w:bidi="ar-EG"/>
        </w:rPr>
        <w:t>وعرفه</w:t>
      </w:r>
      <w:r w:rsidRPr="00E24FBE">
        <w:rPr>
          <w:color w:val="000000" w:themeColor="text1"/>
          <w:sz w:val="26"/>
          <w:szCs w:val="26"/>
          <w:lang w:bidi="ar-EG"/>
        </w:rPr>
        <w:t xml:space="preserve"> Neupane (2020, p 24) </w:t>
      </w:r>
      <w:r w:rsidRPr="00E24FBE">
        <w:rPr>
          <w:rFonts w:hint="cs"/>
          <w:color w:val="000000" w:themeColor="text1"/>
          <w:sz w:val="26"/>
          <w:szCs w:val="26"/>
          <w:rtl/>
          <w:lang w:bidi="ar-EG"/>
        </w:rPr>
        <w:t>بأنه قيمة المنشأة التي يتم فيها تداول الأسهم في السوق الثانوية، حيث تصدر كل منشأة أسهمها علناً للجمهور ويتم تداولها في السوق الثانوية، ويتم تحديد سعر السهم من خلال العرض والطلب للأسهم. حيث ينخفض ويرتفع سعر السهم متأثراً بعوامل مختلفة، بما في ذلك التغيرات في الاقتصاد ككل، والأحداث السياسية، والتغيرات البيئية.</w:t>
      </w:r>
    </w:p>
    <w:p w14:paraId="00FABC00" w14:textId="77777777" w:rsidR="00782DDD" w:rsidRPr="00E24FBE" w:rsidRDefault="00782DDD" w:rsidP="00C24E42">
      <w:pPr>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وفى ضوء ما سبق ترى الباحثة أن سعر السهم في سوق الأوراق المالية هو المعيار </w:t>
      </w:r>
      <w:proofErr w:type="spellStart"/>
      <w:r w:rsidRPr="00E24FBE">
        <w:rPr>
          <w:rFonts w:hint="cs"/>
          <w:color w:val="000000" w:themeColor="text1"/>
          <w:sz w:val="26"/>
          <w:szCs w:val="26"/>
          <w:rtl/>
          <w:lang w:bidi="ar-EG"/>
        </w:rPr>
        <w:t>الأساسى</w:t>
      </w:r>
      <w:proofErr w:type="spellEnd"/>
      <w:r w:rsidRPr="00E24FBE">
        <w:rPr>
          <w:rFonts w:hint="cs"/>
          <w:color w:val="000000" w:themeColor="text1"/>
          <w:sz w:val="26"/>
          <w:szCs w:val="26"/>
          <w:rtl/>
          <w:lang w:bidi="ar-EG"/>
        </w:rPr>
        <w:t xml:space="preserve"> الذى يستند إليه كل من المستثمرين الحاليين والمرتقبين وغيرهم من الأطراف ذي العلاقة في الحكم على أداء المنشأة في الوقت الحالي وما هو المتوقع لها في المستقبل. </w:t>
      </w:r>
    </w:p>
    <w:p w14:paraId="7400CC12" w14:textId="1894E12F" w:rsidR="00B35B4A" w:rsidRPr="00F05D3D" w:rsidRDefault="0092195F" w:rsidP="009B33B8">
      <w:pPr>
        <w:jc w:val="lowKashida"/>
        <w:rPr>
          <w:b/>
          <w:bCs/>
          <w:color w:val="000000" w:themeColor="text1"/>
          <w:sz w:val="26"/>
          <w:szCs w:val="26"/>
          <w:rtl/>
          <w:lang w:bidi="ar-EG"/>
        </w:rPr>
      </w:pPr>
      <w:r w:rsidRPr="00F05D3D">
        <w:rPr>
          <w:rFonts w:hint="cs"/>
          <w:b/>
          <w:bCs/>
          <w:color w:val="000000" w:themeColor="text1"/>
          <w:sz w:val="26"/>
          <w:szCs w:val="26"/>
          <w:rtl/>
          <w:lang w:bidi="ar-EG"/>
        </w:rPr>
        <w:t>4</w:t>
      </w:r>
      <w:r w:rsidR="00782DDD" w:rsidRPr="00F05D3D">
        <w:rPr>
          <w:rFonts w:hint="cs"/>
          <w:b/>
          <w:bCs/>
          <w:color w:val="000000" w:themeColor="text1"/>
          <w:sz w:val="26"/>
          <w:szCs w:val="26"/>
          <w:rtl/>
          <w:lang w:bidi="ar-EG"/>
        </w:rPr>
        <w:t>/</w:t>
      </w:r>
      <w:r w:rsidR="00DD0DBF">
        <w:rPr>
          <w:rFonts w:hint="cs"/>
          <w:b/>
          <w:bCs/>
          <w:color w:val="000000" w:themeColor="text1"/>
          <w:sz w:val="26"/>
          <w:szCs w:val="26"/>
          <w:rtl/>
          <w:lang w:bidi="ar-EG"/>
        </w:rPr>
        <w:t>1/2</w:t>
      </w:r>
      <w:r w:rsidR="00782DDD" w:rsidRPr="00F05D3D">
        <w:rPr>
          <w:rFonts w:hint="cs"/>
          <w:b/>
          <w:bCs/>
          <w:color w:val="000000" w:themeColor="text1"/>
          <w:sz w:val="26"/>
          <w:szCs w:val="26"/>
          <w:rtl/>
          <w:lang w:bidi="ar-EG"/>
        </w:rPr>
        <w:t xml:space="preserve"> العوامل المؤثرة على أسعار الأسهم:</w:t>
      </w:r>
      <w:r w:rsidR="00B35B4A" w:rsidRPr="00F05D3D">
        <w:rPr>
          <w:b/>
          <w:bCs/>
          <w:color w:val="000000" w:themeColor="text1"/>
          <w:sz w:val="26"/>
          <w:szCs w:val="26"/>
          <w:lang w:bidi="ar-EG"/>
        </w:rPr>
        <w:t xml:space="preserve"> </w:t>
      </w:r>
    </w:p>
    <w:p w14:paraId="3CACEC24" w14:textId="5864F0D6" w:rsidR="00B35B4A" w:rsidRPr="00E24FBE" w:rsidRDefault="00B35B4A" w:rsidP="002209B2">
      <w:pPr>
        <w:pStyle w:val="ListParagraph"/>
        <w:numPr>
          <w:ilvl w:val="0"/>
          <w:numId w:val="24"/>
        </w:numPr>
        <w:contextualSpacing w:val="0"/>
        <w:jc w:val="lowKashida"/>
        <w:rPr>
          <w:b/>
          <w:bCs/>
          <w:color w:val="000000" w:themeColor="text1"/>
          <w:sz w:val="26"/>
          <w:szCs w:val="26"/>
          <w:lang w:bidi="ar-EG"/>
        </w:rPr>
      </w:pPr>
      <w:r w:rsidRPr="00E24FBE">
        <w:rPr>
          <w:rFonts w:hint="cs"/>
          <w:b/>
          <w:bCs/>
          <w:color w:val="000000" w:themeColor="text1"/>
          <w:sz w:val="26"/>
          <w:szCs w:val="26"/>
          <w:rtl/>
          <w:lang w:bidi="ar-EG"/>
        </w:rPr>
        <w:t xml:space="preserve">نسبة التداول: </w:t>
      </w:r>
      <w:r w:rsidRPr="00E24FBE">
        <w:rPr>
          <w:rFonts w:hint="cs"/>
          <w:color w:val="000000" w:themeColor="text1"/>
          <w:sz w:val="26"/>
          <w:szCs w:val="26"/>
          <w:rtl/>
          <w:lang w:bidi="ar-EG"/>
        </w:rPr>
        <w:t xml:space="preserve">تقيس هذه النسبة مدى قدرة المنشأة على الوفاء بالالتزامات قصيرة الأجل والتي يحل أجلها في الفترة القصيرة القادمة والتي تقل عادة عن سنة مالية، ويمكن قياس نسبة التداول بالمعادلة التالية </w:t>
      </w:r>
      <w:r w:rsidR="00073F00" w:rsidRPr="00E24FBE">
        <w:rPr>
          <w:rFonts w:hint="cs"/>
          <w:color w:val="000000" w:themeColor="text1"/>
          <w:sz w:val="26"/>
          <w:szCs w:val="26"/>
          <w:rtl/>
          <w:lang w:bidi="ar-EG"/>
        </w:rPr>
        <w:t>(</w:t>
      </w:r>
      <w:r w:rsidRPr="00E24FBE">
        <w:rPr>
          <w:rFonts w:hint="cs"/>
          <w:color w:val="000000" w:themeColor="text1"/>
          <w:sz w:val="26"/>
          <w:szCs w:val="26"/>
          <w:rtl/>
          <w:lang w:bidi="ar-EG"/>
        </w:rPr>
        <w:t>فؤاد و</w:t>
      </w:r>
      <w:r w:rsidR="00073F00" w:rsidRPr="00E24FBE">
        <w:rPr>
          <w:rFonts w:hint="cs"/>
          <w:color w:val="000000" w:themeColor="text1"/>
          <w:sz w:val="26"/>
          <w:szCs w:val="26"/>
          <w:rtl/>
          <w:lang w:bidi="ar-EG"/>
        </w:rPr>
        <w:t xml:space="preserve"> </w:t>
      </w:r>
      <w:r w:rsidRPr="00E24FBE">
        <w:rPr>
          <w:rFonts w:hint="cs"/>
          <w:color w:val="000000" w:themeColor="text1"/>
          <w:sz w:val="26"/>
          <w:szCs w:val="26"/>
          <w:rtl/>
          <w:lang w:bidi="ar-EG"/>
        </w:rPr>
        <w:t>إبراهيم، بدون سنة نشر، ص</w:t>
      </w:r>
      <w:r w:rsidR="00073F00" w:rsidRPr="00E24FBE">
        <w:rPr>
          <w:rFonts w:hint="cs"/>
          <w:color w:val="000000" w:themeColor="text1"/>
          <w:sz w:val="26"/>
          <w:szCs w:val="26"/>
          <w:rtl/>
          <w:lang w:bidi="ar-EG"/>
        </w:rPr>
        <w:t xml:space="preserve"> </w:t>
      </w:r>
      <w:proofErr w:type="gramStart"/>
      <w:r w:rsidR="00073F00" w:rsidRPr="00E24FBE">
        <w:rPr>
          <w:rFonts w:hint="cs"/>
          <w:color w:val="000000" w:themeColor="text1"/>
          <w:sz w:val="26"/>
          <w:szCs w:val="26"/>
          <w:rtl/>
          <w:lang w:bidi="ar-EG"/>
        </w:rPr>
        <w:t>52</w:t>
      </w:r>
      <w:r w:rsidRPr="00E24FBE">
        <w:rPr>
          <w:color w:val="000000" w:themeColor="text1"/>
          <w:sz w:val="26"/>
          <w:szCs w:val="26"/>
          <w:lang w:bidi="ar-EG"/>
        </w:rPr>
        <w:t xml:space="preserve"> </w:t>
      </w:r>
      <w:r w:rsidR="00073F00" w:rsidRPr="00E24FBE">
        <w:rPr>
          <w:rFonts w:hint="cs"/>
          <w:color w:val="000000" w:themeColor="text1"/>
          <w:sz w:val="26"/>
          <w:szCs w:val="26"/>
          <w:rtl/>
          <w:lang w:bidi="ar-EG"/>
        </w:rPr>
        <w:t>)</w:t>
      </w:r>
      <w:proofErr w:type="gramEnd"/>
      <w:r w:rsidRPr="00E24FBE">
        <w:rPr>
          <w:rFonts w:hint="cs"/>
          <w:color w:val="000000" w:themeColor="text1"/>
          <w:sz w:val="26"/>
          <w:szCs w:val="26"/>
          <w:rtl/>
          <w:lang w:bidi="ar-EG"/>
        </w:rPr>
        <w:t xml:space="preserve">: </w:t>
      </w:r>
    </w:p>
    <w:p w14:paraId="01542287" w14:textId="340AA4EA" w:rsidR="00405DF8" w:rsidRPr="00E24FBE" w:rsidRDefault="00B35B4A" w:rsidP="009B33B8">
      <w:pPr>
        <w:jc w:val="center"/>
        <w:rPr>
          <w:b/>
          <w:bCs/>
          <w:color w:val="000000" w:themeColor="text1"/>
          <w:sz w:val="26"/>
          <w:szCs w:val="26"/>
          <w:lang w:bidi="ar-EG"/>
        </w:rPr>
      </w:pPr>
      <w:r w:rsidRPr="00E24FBE">
        <w:rPr>
          <w:rFonts w:hint="cs"/>
          <w:b/>
          <w:bCs/>
          <w:color w:val="000000" w:themeColor="text1"/>
          <w:sz w:val="26"/>
          <w:szCs w:val="26"/>
          <w:rtl/>
          <w:lang w:bidi="ar-EG"/>
        </w:rPr>
        <w:t xml:space="preserve">نسبة التداول=  </w:t>
      </w:r>
      <m:oMath>
        <m:f>
          <m:fPr>
            <m:ctrlPr>
              <w:rPr>
                <w:rFonts w:ascii="Cambria Math" w:hAnsi="Cambria Math"/>
                <w:b/>
                <w:bCs/>
                <w:color w:val="000000" w:themeColor="text1"/>
                <w:sz w:val="26"/>
                <w:szCs w:val="26"/>
                <w:lang w:bidi="ar-EG"/>
              </w:rPr>
            </m:ctrlPr>
          </m:fPr>
          <m:num>
            <m:r>
              <m:rPr>
                <m:nor/>
              </m:rPr>
              <w:rPr>
                <w:rFonts w:ascii="Cambria Math" w:hAnsi="Cambria Math" w:hint="cs"/>
                <w:b/>
                <w:bCs/>
                <w:color w:val="000000" w:themeColor="text1"/>
                <w:sz w:val="26"/>
                <w:szCs w:val="26"/>
                <w:rtl/>
                <w:lang w:bidi="ar-EG"/>
              </w:rPr>
              <m:t xml:space="preserve">الأصول المتداولة </m:t>
            </m:r>
          </m:num>
          <m:den>
            <m:r>
              <m:rPr>
                <m:nor/>
              </m:rPr>
              <w:rPr>
                <w:rFonts w:ascii="Cambria Math" w:hAnsi="Cambria Math" w:hint="cs"/>
                <w:b/>
                <w:bCs/>
                <w:color w:val="000000" w:themeColor="text1"/>
                <w:sz w:val="26"/>
                <w:szCs w:val="26"/>
                <w:rtl/>
                <w:lang w:bidi="ar-EG"/>
              </w:rPr>
              <m:t>الخصوم المتداولة</m:t>
            </m:r>
          </m:den>
        </m:f>
      </m:oMath>
    </w:p>
    <w:p w14:paraId="50A0F8B4" w14:textId="75FB82A3" w:rsidR="00405DF8" w:rsidRPr="00C85ED3" w:rsidRDefault="00405DF8" w:rsidP="002209B2">
      <w:pPr>
        <w:pStyle w:val="ListParagraph"/>
        <w:numPr>
          <w:ilvl w:val="0"/>
          <w:numId w:val="24"/>
        </w:numPr>
        <w:contextualSpacing w:val="0"/>
        <w:jc w:val="lowKashida"/>
        <w:rPr>
          <w:color w:val="000000" w:themeColor="text1"/>
          <w:spacing w:val="-6"/>
          <w:sz w:val="26"/>
          <w:szCs w:val="26"/>
          <w:lang w:bidi="ar-EG"/>
        </w:rPr>
      </w:pPr>
      <w:r w:rsidRPr="00C85ED3">
        <w:rPr>
          <w:rFonts w:hint="cs"/>
          <w:b/>
          <w:bCs/>
          <w:color w:val="000000" w:themeColor="text1"/>
          <w:spacing w:val="-6"/>
          <w:sz w:val="26"/>
          <w:szCs w:val="26"/>
          <w:rtl/>
          <w:lang w:bidi="ar-EG"/>
        </w:rPr>
        <w:t xml:space="preserve">العائد على </w:t>
      </w:r>
      <w:proofErr w:type="spellStart"/>
      <w:r w:rsidRPr="00C85ED3">
        <w:rPr>
          <w:rFonts w:hint="cs"/>
          <w:b/>
          <w:bCs/>
          <w:color w:val="000000" w:themeColor="text1"/>
          <w:spacing w:val="-6"/>
          <w:sz w:val="26"/>
          <w:szCs w:val="26"/>
          <w:rtl/>
          <w:lang w:bidi="ar-EG"/>
        </w:rPr>
        <w:t>إجمالى</w:t>
      </w:r>
      <w:proofErr w:type="spellEnd"/>
      <w:r w:rsidRPr="00C85ED3">
        <w:rPr>
          <w:rFonts w:hint="cs"/>
          <w:b/>
          <w:bCs/>
          <w:color w:val="000000" w:themeColor="text1"/>
          <w:spacing w:val="-6"/>
          <w:sz w:val="26"/>
          <w:szCs w:val="26"/>
          <w:rtl/>
          <w:lang w:bidi="ar-EG"/>
        </w:rPr>
        <w:t xml:space="preserve"> الأصول</w:t>
      </w:r>
      <w:r w:rsidRPr="00C85ED3">
        <w:rPr>
          <w:rFonts w:hint="cs"/>
          <w:color w:val="000000" w:themeColor="text1"/>
          <w:spacing w:val="-6"/>
          <w:sz w:val="26"/>
          <w:szCs w:val="26"/>
          <w:rtl/>
          <w:lang w:bidi="ar-EG"/>
        </w:rPr>
        <w:t xml:space="preserve">: يعبر هذا المؤشر عن مدى ربحية الشركة بالنسبة </w:t>
      </w:r>
      <w:proofErr w:type="spellStart"/>
      <w:r w:rsidRPr="00C85ED3">
        <w:rPr>
          <w:rFonts w:hint="cs"/>
          <w:color w:val="000000" w:themeColor="text1"/>
          <w:spacing w:val="-6"/>
          <w:sz w:val="26"/>
          <w:szCs w:val="26"/>
          <w:rtl/>
          <w:lang w:bidi="ar-EG"/>
        </w:rPr>
        <w:t>لإجمالى</w:t>
      </w:r>
      <w:proofErr w:type="spellEnd"/>
      <w:r w:rsidRPr="00C85ED3">
        <w:rPr>
          <w:rFonts w:hint="cs"/>
          <w:color w:val="000000" w:themeColor="text1"/>
          <w:spacing w:val="-6"/>
          <w:sz w:val="26"/>
          <w:szCs w:val="26"/>
          <w:rtl/>
          <w:lang w:bidi="ar-EG"/>
        </w:rPr>
        <w:t xml:space="preserve"> أصولها، كما يعطى للمستثمر فكرة عن مدى كفاءة الشركة في استخدام أصولها لتوليد الأرباح. يظهر العائد على الأصول المرتفع أن المنشأة لديها أداء قوى فيما يتعلق بالتمويل، كما أن العائد على الأصول المنخفض لا يعتبر علامة جيدة لنمو المنشأة، أي كلما أرتفع رقم العائد على الأصول كلما كان ذلك أفضل لأن الشركة تكتسب المزيد من الأموال على استثمارات أقل</w:t>
      </w:r>
      <w:r w:rsidRPr="00C85ED3">
        <w:rPr>
          <w:color w:val="000000" w:themeColor="text1"/>
          <w:spacing w:val="-6"/>
          <w:sz w:val="26"/>
          <w:szCs w:val="26"/>
          <w:lang w:bidi="ar-EG"/>
        </w:rPr>
        <w:t xml:space="preserve"> (</w:t>
      </w:r>
      <w:proofErr w:type="spellStart"/>
      <w:r w:rsidRPr="00C85ED3">
        <w:rPr>
          <w:color w:val="000000" w:themeColor="text1"/>
          <w:spacing w:val="-6"/>
          <w:sz w:val="26"/>
          <w:szCs w:val="26"/>
          <w:lang w:bidi="ar-EG"/>
        </w:rPr>
        <w:t>Sukesti</w:t>
      </w:r>
      <w:proofErr w:type="spellEnd"/>
      <w:r w:rsidRPr="00C85ED3">
        <w:rPr>
          <w:color w:val="000000" w:themeColor="text1"/>
          <w:spacing w:val="-6"/>
          <w:sz w:val="26"/>
          <w:szCs w:val="26"/>
          <w:lang w:bidi="ar-EG"/>
        </w:rPr>
        <w:t>, et al., 2021</w:t>
      </w:r>
      <w:r w:rsidR="00073F00" w:rsidRPr="00C85ED3">
        <w:rPr>
          <w:color w:val="000000" w:themeColor="text1"/>
          <w:spacing w:val="-6"/>
          <w:sz w:val="26"/>
          <w:szCs w:val="26"/>
          <w:lang w:bidi="ar-EG"/>
        </w:rPr>
        <w:t xml:space="preserve">, P </w:t>
      </w:r>
      <w:proofErr w:type="gramStart"/>
      <w:r w:rsidR="00073F00" w:rsidRPr="00C85ED3">
        <w:rPr>
          <w:color w:val="000000" w:themeColor="text1"/>
          <w:spacing w:val="-6"/>
          <w:sz w:val="26"/>
          <w:szCs w:val="26"/>
          <w:lang w:bidi="ar-EG"/>
        </w:rPr>
        <w:t xml:space="preserve">166 </w:t>
      </w:r>
      <w:r w:rsidRPr="00C85ED3">
        <w:rPr>
          <w:color w:val="000000" w:themeColor="text1"/>
          <w:spacing w:val="-6"/>
          <w:sz w:val="26"/>
          <w:szCs w:val="26"/>
          <w:lang w:bidi="ar-EG"/>
        </w:rPr>
        <w:t>)</w:t>
      </w:r>
      <w:proofErr w:type="gramEnd"/>
      <w:r w:rsidRPr="00C85ED3">
        <w:rPr>
          <w:color w:val="000000" w:themeColor="text1"/>
          <w:spacing w:val="-6"/>
          <w:sz w:val="26"/>
          <w:szCs w:val="26"/>
          <w:lang w:bidi="ar-EG"/>
        </w:rPr>
        <w:t xml:space="preserve"> </w:t>
      </w:r>
      <w:r w:rsidRPr="00C85ED3">
        <w:rPr>
          <w:color w:val="000000" w:themeColor="text1"/>
          <w:spacing w:val="-6"/>
          <w:sz w:val="26"/>
          <w:szCs w:val="26"/>
          <w:rtl/>
          <w:lang w:bidi="ar-EG"/>
        </w:rPr>
        <w:t xml:space="preserve">. </w:t>
      </w:r>
      <w:r w:rsidRPr="00C85ED3">
        <w:rPr>
          <w:rFonts w:hint="cs"/>
          <w:color w:val="000000" w:themeColor="text1"/>
          <w:spacing w:val="-6"/>
          <w:sz w:val="26"/>
          <w:szCs w:val="26"/>
          <w:rtl/>
          <w:lang w:bidi="ar-EG"/>
        </w:rPr>
        <w:t xml:space="preserve"> ويمكن قياس مؤشر العائد على إجمالي الأصول بالمعادلة التالية</w:t>
      </w:r>
      <w:r w:rsidRPr="00C85ED3">
        <w:rPr>
          <w:color w:val="000000" w:themeColor="text1"/>
          <w:spacing w:val="-6"/>
          <w:sz w:val="26"/>
          <w:szCs w:val="26"/>
          <w:lang w:bidi="ar-EG"/>
        </w:rPr>
        <w:t xml:space="preserve"> (</w:t>
      </w:r>
      <w:proofErr w:type="spellStart"/>
      <w:r w:rsidRPr="00C85ED3">
        <w:rPr>
          <w:color w:val="000000" w:themeColor="text1"/>
          <w:spacing w:val="-6"/>
          <w:sz w:val="26"/>
          <w:szCs w:val="26"/>
          <w:lang w:bidi="ar-EG"/>
        </w:rPr>
        <w:t>Jermsittiparsert</w:t>
      </w:r>
      <w:proofErr w:type="spellEnd"/>
      <w:r w:rsidRPr="00C85ED3">
        <w:rPr>
          <w:color w:val="000000" w:themeColor="text1"/>
          <w:spacing w:val="-6"/>
          <w:sz w:val="26"/>
          <w:szCs w:val="26"/>
          <w:lang w:bidi="ar-EG"/>
        </w:rPr>
        <w:t>, et al., 2019</w:t>
      </w:r>
      <w:r w:rsidR="00073F00" w:rsidRPr="00C85ED3">
        <w:rPr>
          <w:color w:val="000000" w:themeColor="text1"/>
          <w:spacing w:val="-6"/>
          <w:sz w:val="26"/>
          <w:szCs w:val="26"/>
          <w:lang w:bidi="ar-EG"/>
        </w:rPr>
        <w:t xml:space="preserve">, P 201 </w:t>
      </w:r>
      <w:r w:rsidRPr="00C85ED3">
        <w:rPr>
          <w:color w:val="000000" w:themeColor="text1"/>
          <w:spacing w:val="-6"/>
          <w:sz w:val="26"/>
          <w:szCs w:val="26"/>
          <w:lang w:bidi="ar-EG"/>
        </w:rPr>
        <w:t>)</w:t>
      </w:r>
      <w:r w:rsidRPr="00C85ED3">
        <w:rPr>
          <w:color w:val="000000" w:themeColor="text1"/>
          <w:spacing w:val="-6"/>
          <w:sz w:val="26"/>
          <w:szCs w:val="26"/>
          <w:vertAlign w:val="superscript"/>
          <w:lang w:bidi="ar-EG"/>
        </w:rPr>
        <w:t xml:space="preserve"> </w:t>
      </w:r>
      <w:r w:rsidRPr="00C85ED3">
        <w:rPr>
          <w:rStyle w:val="FootnoteReference"/>
          <w:color w:val="000000" w:themeColor="text1"/>
          <w:spacing w:val="-6"/>
          <w:sz w:val="26"/>
          <w:szCs w:val="26"/>
          <w:lang w:bidi="ar-EG"/>
        </w:rPr>
        <w:t xml:space="preserve"> </w:t>
      </w:r>
      <w:r w:rsidRPr="00C85ED3">
        <w:rPr>
          <w:rFonts w:hint="cs"/>
          <w:color w:val="000000" w:themeColor="text1"/>
          <w:spacing w:val="-6"/>
          <w:sz w:val="26"/>
          <w:szCs w:val="26"/>
          <w:rtl/>
          <w:lang w:bidi="ar-EG"/>
        </w:rPr>
        <w:t>:</w:t>
      </w:r>
    </w:p>
    <w:p w14:paraId="043D0930" w14:textId="5916A0BA" w:rsidR="00B35B4A" w:rsidRPr="00E24FBE" w:rsidRDefault="00B35B4A" w:rsidP="002209B2">
      <w:pPr>
        <w:pStyle w:val="ListParagraph"/>
        <w:numPr>
          <w:ilvl w:val="0"/>
          <w:numId w:val="24"/>
        </w:numPr>
        <w:jc w:val="center"/>
        <w:rPr>
          <w:b/>
          <w:bCs/>
          <w:color w:val="000000" w:themeColor="text1"/>
          <w:sz w:val="26"/>
          <w:szCs w:val="26"/>
          <w:lang w:bidi="ar-EG"/>
        </w:rPr>
      </w:pPr>
      <w:r w:rsidRPr="00E24FBE">
        <w:rPr>
          <w:rFonts w:hint="cs"/>
          <w:b/>
          <w:bCs/>
          <w:color w:val="000000" w:themeColor="text1"/>
          <w:sz w:val="26"/>
          <w:szCs w:val="26"/>
          <w:rtl/>
          <w:lang w:bidi="ar-EG"/>
        </w:rPr>
        <w:t xml:space="preserve">العائد على </w:t>
      </w:r>
      <w:proofErr w:type="spellStart"/>
      <w:r w:rsidRPr="00E24FBE">
        <w:rPr>
          <w:rFonts w:hint="cs"/>
          <w:b/>
          <w:bCs/>
          <w:color w:val="000000" w:themeColor="text1"/>
          <w:sz w:val="26"/>
          <w:szCs w:val="26"/>
          <w:rtl/>
          <w:lang w:bidi="ar-EG"/>
        </w:rPr>
        <w:t>إجمالى</w:t>
      </w:r>
      <w:proofErr w:type="spellEnd"/>
      <w:r w:rsidRPr="00E24FBE">
        <w:rPr>
          <w:rFonts w:hint="cs"/>
          <w:b/>
          <w:bCs/>
          <w:color w:val="000000" w:themeColor="text1"/>
          <w:sz w:val="26"/>
          <w:szCs w:val="26"/>
          <w:rtl/>
          <w:lang w:bidi="ar-EG"/>
        </w:rPr>
        <w:t xml:space="preserve"> الأصول </w:t>
      </w:r>
      <w:r w:rsidRPr="00E24FBE">
        <w:rPr>
          <w:b/>
          <w:bCs/>
          <w:color w:val="000000" w:themeColor="text1"/>
          <w:sz w:val="26"/>
          <w:szCs w:val="26"/>
          <w:lang w:bidi="ar-EG"/>
        </w:rPr>
        <w:t>(ROA)</w:t>
      </w:r>
      <w:r w:rsidRPr="00E24FBE">
        <w:rPr>
          <w:rFonts w:hint="cs"/>
          <w:b/>
          <w:bCs/>
          <w:color w:val="000000" w:themeColor="text1"/>
          <w:sz w:val="26"/>
          <w:szCs w:val="26"/>
          <w:rtl/>
          <w:lang w:bidi="ar-EG"/>
        </w:rPr>
        <w:t xml:space="preserve">= </w:t>
      </w:r>
      <m:oMath>
        <m:f>
          <m:fPr>
            <m:ctrlPr>
              <w:rPr>
                <w:rFonts w:ascii="Cambria Math" w:hAnsi="Cambria Math"/>
                <w:b/>
                <w:bCs/>
                <w:color w:val="000000" w:themeColor="text1"/>
                <w:sz w:val="26"/>
                <w:szCs w:val="26"/>
                <w:lang w:bidi="ar-EG"/>
              </w:rPr>
            </m:ctrlPr>
          </m:fPr>
          <m:num>
            <m:r>
              <m:rPr>
                <m:nor/>
              </m:rPr>
              <w:rPr>
                <w:rFonts w:ascii="Cambria Math" w:hAnsi="Cambria Math" w:hint="cs"/>
                <w:b/>
                <w:bCs/>
                <w:color w:val="000000" w:themeColor="text1"/>
                <w:sz w:val="26"/>
                <w:szCs w:val="26"/>
                <w:rtl/>
                <w:lang w:bidi="ar-EG"/>
              </w:rPr>
              <m:t xml:space="preserve">صافي الدخل بعد الضريبة </m:t>
            </m:r>
          </m:num>
          <m:den>
            <m:r>
              <m:rPr>
                <m:nor/>
              </m:rPr>
              <w:rPr>
                <w:rFonts w:ascii="Cambria Math" w:hAnsi="Cambria Math" w:hint="cs"/>
                <w:b/>
                <w:bCs/>
                <w:color w:val="000000" w:themeColor="text1"/>
                <w:sz w:val="26"/>
                <w:szCs w:val="26"/>
                <w:rtl/>
                <w:lang w:bidi="ar-EG"/>
              </w:rPr>
              <m:t>متوسط إجمالي الأصول</m:t>
            </m:r>
          </m:den>
        </m:f>
      </m:oMath>
    </w:p>
    <w:p w14:paraId="1C7D1CEE" w14:textId="0DA0A878" w:rsidR="00073F00" w:rsidRPr="00E24FBE" w:rsidRDefault="00073F00" w:rsidP="002209B2">
      <w:pPr>
        <w:pStyle w:val="ListParagraph"/>
        <w:numPr>
          <w:ilvl w:val="0"/>
          <w:numId w:val="24"/>
        </w:numPr>
        <w:contextualSpacing w:val="0"/>
        <w:jc w:val="lowKashida"/>
        <w:rPr>
          <w:color w:val="000000" w:themeColor="text1"/>
          <w:sz w:val="26"/>
          <w:szCs w:val="26"/>
          <w:lang w:bidi="ar-EG"/>
        </w:rPr>
      </w:pPr>
      <w:r w:rsidRPr="00E24FBE">
        <w:rPr>
          <w:rFonts w:hint="cs"/>
          <w:b/>
          <w:bCs/>
          <w:color w:val="000000" w:themeColor="text1"/>
          <w:sz w:val="26"/>
          <w:szCs w:val="26"/>
          <w:rtl/>
          <w:lang w:bidi="ar-EG"/>
        </w:rPr>
        <w:t xml:space="preserve">الرافعة المالية: </w:t>
      </w:r>
      <w:r w:rsidRPr="00E24FBE">
        <w:rPr>
          <w:rFonts w:hint="cs"/>
          <w:color w:val="000000" w:themeColor="text1"/>
          <w:sz w:val="26"/>
          <w:szCs w:val="26"/>
          <w:rtl/>
          <w:lang w:bidi="ar-EG"/>
        </w:rPr>
        <w:t>تعد مؤشراً هاماً لتقييم مدى قدرة المنشأة على سداد التزاماتها المالية</w:t>
      </w:r>
      <w:r w:rsidRPr="00E24FBE">
        <w:rPr>
          <w:color w:val="000000" w:themeColor="text1"/>
          <w:sz w:val="26"/>
          <w:szCs w:val="26"/>
          <w:lang w:bidi="ar-EG"/>
        </w:rPr>
        <w:t xml:space="preserve"> </w:t>
      </w:r>
      <w:r w:rsidRPr="00E24FBE">
        <w:rPr>
          <w:rFonts w:hint="cs"/>
          <w:color w:val="000000" w:themeColor="text1"/>
          <w:sz w:val="26"/>
          <w:szCs w:val="26"/>
          <w:rtl/>
          <w:lang w:bidi="ar-EG"/>
        </w:rPr>
        <w:t xml:space="preserve">طويلة الأجل في تاريخ استحقاقها، كما يتم الاعتماد عليها في تحديد الموارد المالية اللازمة لتكوين هيكل رأس </w:t>
      </w:r>
      <w:proofErr w:type="gramStart"/>
      <w:r w:rsidRPr="00E24FBE">
        <w:rPr>
          <w:rFonts w:hint="cs"/>
          <w:color w:val="000000" w:themeColor="text1"/>
          <w:sz w:val="26"/>
          <w:szCs w:val="26"/>
          <w:rtl/>
          <w:lang w:bidi="ar-EG"/>
        </w:rPr>
        <w:t>المال</w:t>
      </w:r>
      <w:r w:rsidRPr="00E24FBE">
        <w:rPr>
          <w:color w:val="000000" w:themeColor="text1"/>
          <w:sz w:val="26"/>
          <w:szCs w:val="26"/>
          <w:lang w:bidi="ar-EG"/>
        </w:rPr>
        <w:t>(</w:t>
      </w:r>
      <w:proofErr w:type="gramEnd"/>
      <w:r w:rsidRPr="00E24FBE">
        <w:rPr>
          <w:color w:val="000000" w:themeColor="text1"/>
          <w:sz w:val="26"/>
          <w:szCs w:val="26"/>
          <w:lang w:bidi="ar-EG"/>
        </w:rPr>
        <w:t>Rahman and Liu, 2021, P 12)</w:t>
      </w:r>
      <w:r w:rsidRPr="00E24FBE">
        <w:rPr>
          <w:color w:val="000000" w:themeColor="text1"/>
          <w:sz w:val="26"/>
          <w:szCs w:val="26"/>
          <w:rtl/>
          <w:lang w:bidi="ar-EG"/>
        </w:rPr>
        <w:t xml:space="preserve">. </w:t>
      </w:r>
      <w:r w:rsidRPr="00E24FBE">
        <w:rPr>
          <w:rFonts w:hint="cs"/>
          <w:color w:val="000000" w:themeColor="text1"/>
          <w:sz w:val="26"/>
          <w:szCs w:val="26"/>
          <w:rtl/>
          <w:lang w:bidi="ar-EG"/>
        </w:rPr>
        <w:t xml:space="preserve"> </w:t>
      </w:r>
    </w:p>
    <w:p w14:paraId="6E45237A" w14:textId="5420933D" w:rsidR="003C5071" w:rsidRPr="00E24FBE" w:rsidRDefault="003C5071" w:rsidP="00C85ED3">
      <w:pPr>
        <w:pStyle w:val="ListParagraph"/>
        <w:numPr>
          <w:ilvl w:val="0"/>
          <w:numId w:val="24"/>
        </w:numPr>
        <w:spacing w:line="221" w:lineRule="auto"/>
        <w:contextualSpacing w:val="0"/>
        <w:jc w:val="lowKashida"/>
        <w:rPr>
          <w:color w:val="000000" w:themeColor="text1"/>
          <w:sz w:val="26"/>
          <w:szCs w:val="26"/>
          <w:lang w:bidi="ar-EG"/>
        </w:rPr>
      </w:pPr>
      <w:r w:rsidRPr="00E24FBE">
        <w:rPr>
          <w:rFonts w:hint="cs"/>
          <w:b/>
          <w:bCs/>
          <w:color w:val="000000" w:themeColor="text1"/>
          <w:sz w:val="26"/>
          <w:szCs w:val="26"/>
          <w:rtl/>
          <w:lang w:bidi="ar-EG"/>
        </w:rPr>
        <w:lastRenderedPageBreak/>
        <w:t xml:space="preserve">ربحية السهم: </w:t>
      </w:r>
      <w:r w:rsidRPr="00E24FBE">
        <w:rPr>
          <w:rFonts w:hint="cs"/>
          <w:color w:val="000000" w:themeColor="text1"/>
          <w:sz w:val="26"/>
          <w:szCs w:val="26"/>
          <w:rtl/>
          <w:lang w:bidi="ar-EG"/>
        </w:rPr>
        <w:t xml:space="preserve">تمثل نصيب السهم </w:t>
      </w:r>
      <w:proofErr w:type="spellStart"/>
      <w:r w:rsidRPr="00E24FBE">
        <w:rPr>
          <w:rFonts w:hint="cs"/>
          <w:color w:val="000000" w:themeColor="text1"/>
          <w:sz w:val="26"/>
          <w:szCs w:val="26"/>
          <w:rtl/>
          <w:lang w:bidi="ar-EG"/>
        </w:rPr>
        <w:t>العادى</w:t>
      </w:r>
      <w:proofErr w:type="spellEnd"/>
      <w:r w:rsidRPr="00E24FBE">
        <w:rPr>
          <w:rFonts w:hint="cs"/>
          <w:color w:val="000000" w:themeColor="text1"/>
          <w:sz w:val="26"/>
          <w:szCs w:val="26"/>
          <w:rtl/>
          <w:lang w:bidi="ar-EG"/>
        </w:rPr>
        <w:t xml:space="preserve"> من صافى أرباح المنشأة، وكلما زاد نصيب السهم من الربح كلما زاد سعر السهم في السوق، ويتم حساب هذا المؤشر بقسمة صافى الربح القابل للتوزيع على عدد الأسهم العادية، بعد خصم نصيب حملة الأسهم الممتازة من الأرباح (أبو النصر، 2016، ص 26). ويمكن قياس ربحية السهم</w:t>
      </w:r>
      <w:r w:rsidRPr="00E24FBE">
        <w:rPr>
          <w:color w:val="000000" w:themeColor="text1"/>
          <w:sz w:val="26"/>
          <w:szCs w:val="26"/>
          <w:lang w:bidi="ar-EG"/>
        </w:rPr>
        <w:t xml:space="preserve">(EPS) </w:t>
      </w:r>
      <w:r w:rsidRPr="00E24FBE">
        <w:rPr>
          <w:rFonts w:hint="cs"/>
          <w:color w:val="000000" w:themeColor="text1"/>
          <w:sz w:val="26"/>
          <w:szCs w:val="26"/>
          <w:rtl/>
          <w:lang w:bidi="ar-EG"/>
        </w:rPr>
        <w:t xml:space="preserve"> بالمعادلة التالية: </w:t>
      </w:r>
    </w:p>
    <w:p w14:paraId="4A0CC91C" w14:textId="314E82F9" w:rsidR="00073F00" w:rsidRPr="00E24FBE" w:rsidRDefault="007A4940" w:rsidP="00C85ED3">
      <w:pPr>
        <w:spacing w:line="221" w:lineRule="auto"/>
        <w:jc w:val="center"/>
        <w:rPr>
          <w:b/>
          <w:bCs/>
          <w:color w:val="000000" w:themeColor="text1"/>
          <w:sz w:val="26"/>
          <w:szCs w:val="26"/>
          <w:rtl/>
          <w:lang w:bidi="ar-EG"/>
        </w:rPr>
      </w:pPr>
      <m:oMath>
        <m:f>
          <m:fPr>
            <m:ctrlPr>
              <w:rPr>
                <w:rFonts w:ascii="Cambria Math" w:hAnsi="Cambria Math"/>
                <w:b/>
                <w:bCs/>
                <w:color w:val="000000" w:themeColor="text1"/>
                <w:sz w:val="26"/>
                <w:szCs w:val="26"/>
                <w:lang w:bidi="ar-EG"/>
              </w:rPr>
            </m:ctrlPr>
          </m:fPr>
          <m:num>
            <m:r>
              <m:rPr>
                <m:nor/>
              </m:rPr>
              <w:rPr>
                <w:rFonts w:ascii="Cambria Math" w:hAnsi="Cambria Math" w:hint="cs"/>
                <w:b/>
                <w:bCs/>
                <w:color w:val="000000" w:themeColor="text1"/>
                <w:sz w:val="26"/>
                <w:szCs w:val="26"/>
                <w:rtl/>
                <w:lang w:bidi="ar-EG"/>
              </w:rPr>
              <m:t xml:space="preserve"> (صافى الدخل بعد الضريبة </m:t>
            </m:r>
            <m:r>
              <m:rPr>
                <m:nor/>
              </m:rPr>
              <w:rPr>
                <w:rFonts w:ascii="Cambria Math" w:hAnsi="Cambria Math"/>
                <w:b/>
                <w:bCs/>
                <w:color w:val="000000" w:themeColor="text1"/>
                <w:sz w:val="26"/>
                <w:szCs w:val="26"/>
                <w:rtl/>
                <w:lang w:bidi="ar-EG"/>
              </w:rPr>
              <m:t>–</m:t>
            </m:r>
            <m:r>
              <m:rPr>
                <m:nor/>
              </m:rPr>
              <w:rPr>
                <w:rFonts w:ascii="Cambria Math" w:hAnsi="Cambria Math" w:hint="cs"/>
                <w:b/>
                <w:bCs/>
                <w:color w:val="000000" w:themeColor="text1"/>
                <w:sz w:val="26"/>
                <w:szCs w:val="26"/>
                <w:rtl/>
                <w:lang w:bidi="ar-EG"/>
              </w:rPr>
              <m:t xml:space="preserve"> توزيعات الأرباح على الأسهم الممتازة)</m:t>
            </m:r>
          </m:num>
          <m:den>
            <m:r>
              <m:rPr>
                <m:nor/>
              </m:rPr>
              <w:rPr>
                <w:rFonts w:ascii="Cambria Math" w:hAnsi="Cambria Math" w:hint="cs"/>
                <w:b/>
                <w:bCs/>
                <w:color w:val="000000" w:themeColor="text1"/>
                <w:sz w:val="26"/>
                <w:szCs w:val="26"/>
                <w:rtl/>
                <w:lang w:bidi="ar-EG"/>
              </w:rPr>
              <m:t>متوسط عدد الأسهم العادية المصدرة</m:t>
            </m:r>
          </m:den>
        </m:f>
      </m:oMath>
      <w:r w:rsidR="00491EF4">
        <w:rPr>
          <w:rFonts w:hint="cs"/>
          <w:b/>
          <w:bCs/>
          <w:color w:val="000000" w:themeColor="text1"/>
          <w:sz w:val="26"/>
          <w:szCs w:val="26"/>
          <w:rtl/>
          <w:lang w:bidi="ar-EG"/>
        </w:rPr>
        <w:t xml:space="preserve"> </w:t>
      </w:r>
    </w:p>
    <w:p w14:paraId="089317D8" w14:textId="56F36266" w:rsidR="003C5071" w:rsidRPr="008E78AB" w:rsidRDefault="0092195F" w:rsidP="00C85ED3">
      <w:pPr>
        <w:spacing w:line="221" w:lineRule="auto"/>
        <w:rPr>
          <w:b/>
          <w:bCs/>
          <w:color w:val="000000" w:themeColor="text1"/>
          <w:sz w:val="26"/>
          <w:szCs w:val="26"/>
          <w:rtl/>
          <w:lang w:bidi="ar-EG"/>
        </w:rPr>
      </w:pPr>
      <w:r w:rsidRPr="008E78AB">
        <w:rPr>
          <w:rFonts w:hint="cs"/>
          <w:b/>
          <w:bCs/>
          <w:color w:val="000000" w:themeColor="text1"/>
          <w:sz w:val="26"/>
          <w:szCs w:val="26"/>
          <w:rtl/>
          <w:lang w:bidi="ar-EG"/>
        </w:rPr>
        <w:t>4</w:t>
      </w:r>
      <w:r w:rsidR="003C5071" w:rsidRPr="008E78AB">
        <w:rPr>
          <w:rFonts w:hint="cs"/>
          <w:b/>
          <w:bCs/>
          <w:color w:val="000000" w:themeColor="text1"/>
          <w:sz w:val="26"/>
          <w:szCs w:val="26"/>
          <w:rtl/>
          <w:lang w:bidi="ar-EG"/>
        </w:rPr>
        <w:t>/</w:t>
      </w:r>
      <w:r w:rsidR="00DD0DBF">
        <w:rPr>
          <w:rFonts w:hint="cs"/>
          <w:b/>
          <w:bCs/>
          <w:color w:val="000000" w:themeColor="text1"/>
          <w:sz w:val="26"/>
          <w:szCs w:val="26"/>
          <w:rtl/>
          <w:lang w:bidi="ar-EG"/>
        </w:rPr>
        <w:t>2</w:t>
      </w:r>
      <w:r w:rsidR="003C5071" w:rsidRPr="008E78AB">
        <w:rPr>
          <w:rFonts w:hint="cs"/>
          <w:b/>
          <w:bCs/>
          <w:color w:val="000000" w:themeColor="text1"/>
          <w:sz w:val="26"/>
          <w:szCs w:val="26"/>
          <w:rtl/>
          <w:lang w:bidi="ar-EG"/>
        </w:rPr>
        <w:t xml:space="preserve"> العلاقة بين أسعار الأسهم وكفاءة سوق الأوراق المالية</w:t>
      </w:r>
      <w:r w:rsidR="00ED3415" w:rsidRPr="008E78AB">
        <w:rPr>
          <w:rFonts w:hint="cs"/>
          <w:b/>
          <w:bCs/>
          <w:color w:val="000000" w:themeColor="text1"/>
          <w:sz w:val="26"/>
          <w:szCs w:val="26"/>
          <w:rtl/>
          <w:lang w:bidi="ar-EG"/>
        </w:rPr>
        <w:t>:</w:t>
      </w:r>
    </w:p>
    <w:p w14:paraId="727F7D5B" w14:textId="5AE1E7C1" w:rsidR="00ED3415" w:rsidRPr="008E78AB" w:rsidRDefault="00DD0DBF" w:rsidP="00C85ED3">
      <w:pPr>
        <w:spacing w:line="221" w:lineRule="auto"/>
        <w:rPr>
          <w:color w:val="000000" w:themeColor="text1"/>
          <w:sz w:val="26"/>
          <w:szCs w:val="26"/>
          <w:rtl/>
          <w:lang w:bidi="ar-EG"/>
        </w:rPr>
      </w:pPr>
      <w:r>
        <w:rPr>
          <w:rFonts w:hint="cs"/>
          <w:color w:val="000000" w:themeColor="text1"/>
          <w:sz w:val="26"/>
          <w:szCs w:val="26"/>
          <w:rtl/>
          <w:lang w:bidi="ar-EG"/>
        </w:rPr>
        <w:t xml:space="preserve">4/2/1 </w:t>
      </w:r>
      <w:r w:rsidR="00ED3415" w:rsidRPr="008E78AB">
        <w:rPr>
          <w:rFonts w:hint="cs"/>
          <w:b/>
          <w:bCs/>
          <w:color w:val="000000" w:themeColor="text1"/>
          <w:sz w:val="26"/>
          <w:szCs w:val="26"/>
          <w:rtl/>
          <w:lang w:bidi="ar-EG"/>
        </w:rPr>
        <w:t>مفهوم كفاءة سوق الأوراق المالية:</w:t>
      </w:r>
    </w:p>
    <w:p w14:paraId="0E0676FD" w14:textId="25342045" w:rsidR="003C5071" w:rsidRPr="00E24FBE" w:rsidRDefault="00B35B4A" w:rsidP="00C85ED3">
      <w:pPr>
        <w:spacing w:line="221" w:lineRule="auto"/>
        <w:ind w:firstLine="720"/>
        <w:jc w:val="lowKashida"/>
        <w:rPr>
          <w:color w:val="000000" w:themeColor="text1"/>
          <w:spacing w:val="-4"/>
          <w:sz w:val="26"/>
          <w:szCs w:val="26"/>
          <w:rtl/>
          <w:lang w:bidi="ar-EG"/>
        </w:rPr>
      </w:pPr>
      <w:r w:rsidRPr="00E24FBE">
        <w:rPr>
          <w:b/>
          <w:bCs/>
          <w:color w:val="000000" w:themeColor="text1"/>
          <w:sz w:val="26"/>
          <w:szCs w:val="26"/>
          <w:lang w:bidi="ar-EG"/>
        </w:rPr>
        <w:t xml:space="preserve"> </w:t>
      </w:r>
      <w:r w:rsidR="003C5071" w:rsidRPr="00E24FBE">
        <w:rPr>
          <w:rFonts w:hint="cs"/>
          <w:color w:val="000000" w:themeColor="text1"/>
          <w:spacing w:val="-4"/>
          <w:sz w:val="26"/>
          <w:szCs w:val="26"/>
          <w:rtl/>
          <w:lang w:bidi="ar-EG"/>
        </w:rPr>
        <w:t xml:space="preserve">عرفت دراسة (صالح  وفريدة،  2009، ص 182) </w:t>
      </w:r>
      <w:r w:rsidR="003C5071" w:rsidRPr="00E24FBE">
        <w:rPr>
          <w:rStyle w:val="FootnoteReference"/>
          <w:rFonts w:hint="cs"/>
          <w:color w:val="000000" w:themeColor="text1"/>
          <w:spacing w:val="-4"/>
          <w:sz w:val="26"/>
          <w:szCs w:val="26"/>
          <w:rtl/>
          <w:lang w:bidi="ar-EG"/>
        </w:rPr>
        <w:t xml:space="preserve"> </w:t>
      </w:r>
      <w:r w:rsidR="003C5071" w:rsidRPr="00E24FBE">
        <w:rPr>
          <w:rFonts w:hint="cs"/>
          <w:color w:val="000000" w:themeColor="text1"/>
          <w:spacing w:val="-4"/>
          <w:sz w:val="26"/>
          <w:szCs w:val="26"/>
          <w:rtl/>
          <w:lang w:bidi="ar-EG"/>
        </w:rPr>
        <w:t xml:space="preserve">كفاءة سوق الأوراق المالية </w:t>
      </w:r>
      <w:r w:rsidR="003C5071" w:rsidRPr="00E24FBE">
        <w:rPr>
          <w:color w:val="000000" w:themeColor="text1"/>
          <w:spacing w:val="-4"/>
          <w:sz w:val="26"/>
          <w:szCs w:val="26"/>
          <w:lang w:bidi="ar-EG"/>
        </w:rPr>
        <w:t>(SME)</w:t>
      </w:r>
      <w:r w:rsidR="003C5071" w:rsidRPr="00E24FBE">
        <w:rPr>
          <w:rFonts w:hint="cs"/>
          <w:color w:val="000000" w:themeColor="text1"/>
          <w:spacing w:val="-4"/>
          <w:sz w:val="26"/>
          <w:szCs w:val="26"/>
          <w:rtl/>
          <w:lang w:bidi="ar-EG"/>
        </w:rPr>
        <w:t xml:space="preserve"> على أنها تلك السوق التي تتمتع بقدر عال من المرونة تسمح بتحقيق استجابة سريعة في أسعار الأوراق المالية للتغيرات في نتائج البيانات والمعلومات الواردة إلى السوق، وهو ما يؤدى إلى تحقيق التعادل بين القيمة السوقية والقيمة الحقيقية للورقة المالية، وبذلك تكون السوق كفء إذا كانت الأسعار تعكس نظام المعلومات الخاص بأداء المنشأة المُصدرة للأوراق المالية المتداولة في السوق.</w:t>
      </w:r>
    </w:p>
    <w:p w14:paraId="3711CDCC" w14:textId="6C166C09" w:rsidR="00405DF8" w:rsidRPr="008E78AB" w:rsidRDefault="00F96BDA" w:rsidP="00C85ED3">
      <w:pPr>
        <w:spacing w:line="221" w:lineRule="auto"/>
        <w:rPr>
          <w:b/>
          <w:bCs/>
          <w:color w:val="000000" w:themeColor="text1"/>
          <w:sz w:val="26"/>
          <w:szCs w:val="26"/>
          <w:rtl/>
          <w:lang w:bidi="ar-EG"/>
        </w:rPr>
      </w:pPr>
      <w:r w:rsidRPr="008E78AB">
        <w:rPr>
          <w:rFonts w:hint="cs"/>
          <w:b/>
          <w:bCs/>
          <w:color w:val="000000" w:themeColor="text1"/>
          <w:sz w:val="26"/>
          <w:szCs w:val="26"/>
          <w:rtl/>
          <w:lang w:bidi="ar-EG"/>
        </w:rPr>
        <w:t>4</w:t>
      </w:r>
      <w:r w:rsidR="00ED3415" w:rsidRPr="008E78AB">
        <w:rPr>
          <w:rFonts w:hint="cs"/>
          <w:b/>
          <w:bCs/>
          <w:color w:val="000000" w:themeColor="text1"/>
          <w:sz w:val="26"/>
          <w:szCs w:val="26"/>
          <w:rtl/>
          <w:lang w:bidi="ar-EG"/>
        </w:rPr>
        <w:t>/</w:t>
      </w:r>
      <w:r w:rsidR="00DD0DBF">
        <w:rPr>
          <w:rFonts w:hint="cs"/>
          <w:b/>
          <w:bCs/>
          <w:color w:val="000000" w:themeColor="text1"/>
          <w:sz w:val="26"/>
          <w:szCs w:val="26"/>
          <w:rtl/>
          <w:lang w:bidi="ar-EG"/>
        </w:rPr>
        <w:t>2/</w:t>
      </w:r>
      <w:r w:rsidR="00ED3415" w:rsidRPr="008E78AB">
        <w:rPr>
          <w:rFonts w:hint="cs"/>
          <w:b/>
          <w:bCs/>
          <w:color w:val="000000" w:themeColor="text1"/>
          <w:sz w:val="26"/>
          <w:szCs w:val="26"/>
          <w:rtl/>
          <w:lang w:bidi="ar-EG"/>
        </w:rPr>
        <w:t>2 أشكال كفاءة سوق الأوراق المالية:</w:t>
      </w:r>
    </w:p>
    <w:p w14:paraId="671D8E34" w14:textId="77777777" w:rsidR="00ED3415" w:rsidRPr="00E24FBE" w:rsidRDefault="00ED3415" w:rsidP="00C85ED3">
      <w:pPr>
        <w:pStyle w:val="ListParagraph"/>
        <w:numPr>
          <w:ilvl w:val="0"/>
          <w:numId w:val="25"/>
        </w:numPr>
        <w:spacing w:line="221" w:lineRule="auto"/>
        <w:ind w:left="357" w:hanging="357"/>
        <w:contextualSpacing w:val="0"/>
        <w:jc w:val="lowKashida"/>
        <w:rPr>
          <w:b/>
          <w:bCs/>
          <w:color w:val="000000" w:themeColor="text1"/>
          <w:sz w:val="26"/>
          <w:szCs w:val="26"/>
          <w:lang w:bidi="ar-EG"/>
        </w:rPr>
      </w:pPr>
      <w:r w:rsidRPr="00E24FBE">
        <w:rPr>
          <w:rFonts w:hint="cs"/>
          <w:b/>
          <w:bCs/>
          <w:color w:val="000000" w:themeColor="text1"/>
          <w:sz w:val="26"/>
          <w:szCs w:val="26"/>
          <w:rtl/>
          <w:lang w:bidi="ar-EG"/>
        </w:rPr>
        <w:t>الشكل الضعيف لكفاءة السوق:</w:t>
      </w:r>
    </w:p>
    <w:p w14:paraId="1F9CFCB1" w14:textId="77777777" w:rsidR="00ED3415" w:rsidRPr="00E24FBE" w:rsidRDefault="00ED3415" w:rsidP="00C85ED3">
      <w:pPr>
        <w:spacing w:line="221" w:lineRule="auto"/>
        <w:ind w:firstLine="720"/>
        <w:jc w:val="lowKashida"/>
        <w:rPr>
          <w:color w:val="000000" w:themeColor="text1"/>
          <w:sz w:val="26"/>
          <w:szCs w:val="26"/>
          <w:lang w:bidi="ar-EG"/>
        </w:rPr>
      </w:pPr>
      <w:r w:rsidRPr="00E24FBE">
        <w:rPr>
          <w:rFonts w:hint="cs"/>
          <w:color w:val="000000" w:themeColor="text1"/>
          <w:sz w:val="26"/>
          <w:szCs w:val="26"/>
          <w:rtl/>
          <w:lang w:bidi="ar-EG"/>
        </w:rPr>
        <w:t>وفقاً لهذا الشكل تعكس أسعار الأوراق المالية</w:t>
      </w:r>
      <w:r w:rsidRPr="00E24FBE">
        <w:rPr>
          <w:color w:val="000000" w:themeColor="text1"/>
          <w:sz w:val="26"/>
          <w:szCs w:val="26"/>
          <w:lang w:bidi="ar-EG"/>
        </w:rPr>
        <w:t xml:space="preserve"> </w:t>
      </w:r>
      <w:r w:rsidRPr="00E24FBE">
        <w:rPr>
          <w:rFonts w:hint="cs"/>
          <w:color w:val="000000" w:themeColor="text1"/>
          <w:sz w:val="26"/>
          <w:szCs w:val="26"/>
          <w:rtl/>
          <w:lang w:bidi="ar-EG"/>
        </w:rPr>
        <w:t xml:space="preserve">جميع المعلومات التاريخية التي تتعلق بأسعار وأحجام التداول التي جرت في </w:t>
      </w:r>
      <w:proofErr w:type="spellStart"/>
      <w:r w:rsidRPr="00E24FBE">
        <w:rPr>
          <w:rFonts w:hint="cs"/>
          <w:color w:val="000000" w:themeColor="text1"/>
          <w:sz w:val="26"/>
          <w:szCs w:val="26"/>
          <w:rtl/>
          <w:lang w:bidi="ar-EG"/>
        </w:rPr>
        <w:t>الماضى</w:t>
      </w:r>
      <w:proofErr w:type="spellEnd"/>
      <w:r w:rsidRPr="00E24FBE">
        <w:rPr>
          <w:rFonts w:hint="cs"/>
          <w:color w:val="000000" w:themeColor="text1"/>
          <w:sz w:val="26"/>
          <w:szCs w:val="26"/>
          <w:rtl/>
          <w:lang w:bidi="ar-EG"/>
        </w:rPr>
        <w:t xml:space="preserve"> وما طرأ عليها من تغيرات</w:t>
      </w:r>
      <w:r w:rsidRPr="00E24FBE">
        <w:rPr>
          <w:color w:val="000000" w:themeColor="text1"/>
          <w:sz w:val="26"/>
          <w:szCs w:val="26"/>
        </w:rPr>
        <w:t xml:space="preserve"> </w:t>
      </w:r>
      <w:r w:rsidRPr="00E24FBE">
        <w:rPr>
          <w:rFonts w:hint="cs"/>
          <w:color w:val="000000" w:themeColor="text1"/>
          <w:sz w:val="26"/>
          <w:szCs w:val="26"/>
          <w:rtl/>
        </w:rPr>
        <w:t>،</w:t>
      </w:r>
      <w:r w:rsidRPr="00E24FBE">
        <w:rPr>
          <w:color w:val="000000" w:themeColor="text1"/>
          <w:sz w:val="26"/>
          <w:szCs w:val="26"/>
        </w:rPr>
        <w:t>(</w:t>
      </w:r>
      <w:proofErr w:type="spellStart"/>
      <w:r w:rsidRPr="00E24FBE">
        <w:rPr>
          <w:color w:val="000000" w:themeColor="text1"/>
          <w:sz w:val="26"/>
          <w:szCs w:val="26"/>
        </w:rPr>
        <w:t>Yadirichukwu</w:t>
      </w:r>
      <w:proofErr w:type="spellEnd"/>
      <w:r w:rsidRPr="00E24FBE">
        <w:rPr>
          <w:color w:val="000000" w:themeColor="text1"/>
          <w:sz w:val="26"/>
          <w:szCs w:val="26"/>
        </w:rPr>
        <w:t xml:space="preserve"> and </w:t>
      </w:r>
      <w:proofErr w:type="spellStart"/>
      <w:r w:rsidRPr="00E24FBE">
        <w:rPr>
          <w:color w:val="000000" w:themeColor="text1"/>
          <w:sz w:val="26"/>
          <w:szCs w:val="26"/>
        </w:rPr>
        <w:t>Ogochukwu</w:t>
      </w:r>
      <w:proofErr w:type="spellEnd"/>
      <w:r w:rsidRPr="00E24FBE">
        <w:rPr>
          <w:color w:val="000000" w:themeColor="text1"/>
          <w:sz w:val="26"/>
          <w:szCs w:val="26"/>
        </w:rPr>
        <w:t>, 2014, P 1201)</w:t>
      </w:r>
      <w:r w:rsidRPr="00E24FBE">
        <w:rPr>
          <w:rFonts w:hint="cs"/>
          <w:color w:val="000000" w:themeColor="text1"/>
          <w:sz w:val="26"/>
          <w:szCs w:val="26"/>
          <w:vertAlign w:val="superscript"/>
          <w:rtl/>
          <w:lang w:bidi="ar-EG"/>
        </w:rPr>
        <w:t xml:space="preserve"> </w:t>
      </w:r>
      <w:r w:rsidRPr="00E24FBE">
        <w:rPr>
          <w:rFonts w:hint="cs"/>
          <w:color w:val="000000" w:themeColor="text1"/>
          <w:sz w:val="26"/>
          <w:szCs w:val="26"/>
          <w:rtl/>
          <w:lang w:bidi="ar-EG"/>
        </w:rPr>
        <w:t>،</w:t>
      </w:r>
    </w:p>
    <w:p w14:paraId="0B2D86EE" w14:textId="426D7EA6" w:rsidR="00ED3415" w:rsidRPr="00E24FBE" w:rsidRDefault="00ED3415" w:rsidP="00C85ED3">
      <w:pPr>
        <w:pStyle w:val="ListParagraph"/>
        <w:numPr>
          <w:ilvl w:val="0"/>
          <w:numId w:val="25"/>
        </w:numPr>
        <w:spacing w:line="221" w:lineRule="auto"/>
        <w:ind w:left="357" w:hanging="357"/>
        <w:contextualSpacing w:val="0"/>
        <w:jc w:val="lowKashida"/>
        <w:rPr>
          <w:b/>
          <w:bCs/>
          <w:color w:val="000000" w:themeColor="text1"/>
          <w:sz w:val="26"/>
          <w:szCs w:val="26"/>
          <w:lang w:bidi="ar-EG"/>
        </w:rPr>
      </w:pPr>
      <w:r w:rsidRPr="00E24FBE">
        <w:rPr>
          <w:rFonts w:hint="cs"/>
          <w:b/>
          <w:bCs/>
          <w:color w:val="000000" w:themeColor="text1"/>
          <w:sz w:val="26"/>
          <w:szCs w:val="26"/>
          <w:rtl/>
          <w:lang w:bidi="ar-EG"/>
        </w:rPr>
        <w:t>الشكل شبه القوى لكفاءة السوق:</w:t>
      </w:r>
    </w:p>
    <w:p w14:paraId="74C3BC35" w14:textId="28418710" w:rsidR="00ED3415" w:rsidRPr="00E24FBE" w:rsidRDefault="00ED3415" w:rsidP="00C85ED3">
      <w:pPr>
        <w:pStyle w:val="ListParagraph"/>
        <w:spacing w:line="221" w:lineRule="auto"/>
        <w:ind w:left="0" w:firstLine="720"/>
        <w:contextualSpacing w:val="0"/>
        <w:jc w:val="lowKashida"/>
        <w:rPr>
          <w:color w:val="000000" w:themeColor="text1"/>
          <w:spacing w:val="-4"/>
          <w:sz w:val="26"/>
          <w:szCs w:val="26"/>
          <w:rtl/>
          <w:lang w:bidi="ar-EG"/>
        </w:rPr>
      </w:pPr>
      <w:r w:rsidRPr="00E24FBE">
        <w:rPr>
          <w:rFonts w:hint="cs"/>
          <w:color w:val="000000" w:themeColor="text1"/>
          <w:spacing w:val="-4"/>
          <w:sz w:val="26"/>
          <w:szCs w:val="26"/>
          <w:rtl/>
          <w:lang w:bidi="ar-EG"/>
        </w:rPr>
        <w:t>وفقاً لهذا الشكل فإن أسعار الأوراق المالية لا تعكس فقط المعلومات التاريخية بل تعكس أيضاً كافة المعلومات المتاحة للجمهور، أو التنبؤات التي تقوم على تلك المعلومات، سواء تمثلت تلك المعلومات فيما نُشر عن الشئون الدولية، أو الظروف الاقتصادية في الدولة أو ظروف الصناعة أو المؤسسة بما في ذلك التقارير المالية والتحليلات التي تتاح للجمهور (عبد الرحمن،2017، ص 850).</w:t>
      </w:r>
    </w:p>
    <w:p w14:paraId="571FBC98" w14:textId="6116CDB7" w:rsidR="00B20E50" w:rsidRPr="00E24FBE" w:rsidRDefault="00ED3415" w:rsidP="00C85ED3">
      <w:pPr>
        <w:spacing w:line="221" w:lineRule="auto"/>
        <w:jc w:val="lowKashida"/>
        <w:rPr>
          <w:b/>
          <w:bCs/>
          <w:color w:val="000000" w:themeColor="text1"/>
          <w:sz w:val="26"/>
          <w:szCs w:val="26"/>
          <w:rtl/>
          <w:lang w:bidi="ar-EG"/>
        </w:rPr>
      </w:pPr>
      <w:r w:rsidRPr="00E24FBE">
        <w:rPr>
          <w:rFonts w:hint="cs"/>
          <w:b/>
          <w:bCs/>
          <w:color w:val="000000" w:themeColor="text1"/>
          <w:sz w:val="26"/>
          <w:szCs w:val="26"/>
          <w:rtl/>
          <w:lang w:bidi="ar-EG"/>
        </w:rPr>
        <w:t>الشكل القوى لكفاءة السوق:</w:t>
      </w:r>
    </w:p>
    <w:p w14:paraId="0D79ACC3" w14:textId="2BF2293B" w:rsidR="00ED3415" w:rsidRPr="00E24FBE" w:rsidRDefault="00ED3415" w:rsidP="00C85ED3">
      <w:pPr>
        <w:spacing w:line="221" w:lineRule="auto"/>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وفيه تعكس أسعار الأوراق المالية الحالية كافة المعلومات العامة والخاصة (الداخلية) التي تحتكرها إدارة المنشآت وكبار العاملين </w:t>
      </w:r>
      <w:proofErr w:type="gramStart"/>
      <w:r w:rsidRPr="00E24FBE">
        <w:rPr>
          <w:rFonts w:hint="cs"/>
          <w:color w:val="000000" w:themeColor="text1"/>
          <w:sz w:val="26"/>
          <w:szCs w:val="26"/>
          <w:rtl/>
          <w:lang w:bidi="ar-EG"/>
        </w:rPr>
        <w:t>فيها</w:t>
      </w:r>
      <w:r w:rsidRPr="00E24FBE">
        <w:rPr>
          <w:color w:val="000000" w:themeColor="text1"/>
          <w:sz w:val="26"/>
          <w:szCs w:val="26"/>
          <w:lang w:bidi="ar-EG"/>
        </w:rPr>
        <w:t>(</w:t>
      </w:r>
      <w:proofErr w:type="gramEnd"/>
      <w:r w:rsidRPr="00E24FBE">
        <w:rPr>
          <w:color w:val="000000" w:themeColor="text1"/>
          <w:sz w:val="26"/>
          <w:szCs w:val="26"/>
          <w:lang w:bidi="ar-EG"/>
        </w:rPr>
        <w:t xml:space="preserve">Jain, et al., 2013, P 124) </w:t>
      </w:r>
      <w:r w:rsidRPr="00E24FBE">
        <w:rPr>
          <w:rFonts w:hint="cs"/>
          <w:color w:val="000000" w:themeColor="text1"/>
          <w:sz w:val="26"/>
          <w:szCs w:val="26"/>
          <w:vertAlign w:val="superscript"/>
          <w:rtl/>
          <w:lang w:bidi="ar-EG"/>
        </w:rPr>
        <w:t xml:space="preserve"> </w:t>
      </w:r>
      <w:r w:rsidRPr="00E24FBE">
        <w:rPr>
          <w:rFonts w:hint="cs"/>
          <w:color w:val="000000" w:themeColor="text1"/>
          <w:sz w:val="26"/>
          <w:szCs w:val="26"/>
          <w:rtl/>
          <w:lang w:bidi="ar-EG"/>
        </w:rPr>
        <w:t xml:space="preserve"> ومن ثم عدم قدرة أي من المستثمرين على استخدام معلومات تسمح له بالحصول على أرباح غير عادية حتى لو استعان بخبرة أفضل المحللين والمستشارين الماليين</w:t>
      </w:r>
      <w:r w:rsidRPr="00E24FBE">
        <w:rPr>
          <w:rFonts w:hint="cs"/>
          <w:color w:val="000000" w:themeColor="text1"/>
          <w:sz w:val="26"/>
          <w:szCs w:val="26"/>
          <w:vertAlign w:val="superscript"/>
          <w:rtl/>
          <w:lang w:bidi="ar-EG"/>
        </w:rPr>
        <w:t xml:space="preserve"> </w:t>
      </w:r>
      <w:r w:rsidRPr="00E24FBE">
        <w:rPr>
          <w:rFonts w:hint="cs"/>
          <w:color w:val="000000" w:themeColor="text1"/>
          <w:sz w:val="26"/>
          <w:szCs w:val="26"/>
          <w:rtl/>
          <w:lang w:bidi="ar-EG"/>
        </w:rPr>
        <w:t>(</w:t>
      </w:r>
      <w:proofErr w:type="spellStart"/>
      <w:r w:rsidRPr="00E24FBE">
        <w:rPr>
          <w:rFonts w:hint="cs"/>
          <w:color w:val="000000" w:themeColor="text1"/>
          <w:sz w:val="26"/>
          <w:szCs w:val="26"/>
          <w:rtl/>
          <w:lang w:bidi="ar-EG"/>
        </w:rPr>
        <w:t>الشعراوى</w:t>
      </w:r>
      <w:proofErr w:type="spellEnd"/>
      <w:r w:rsidRPr="00E24FBE">
        <w:rPr>
          <w:rFonts w:hint="cs"/>
          <w:color w:val="000000" w:themeColor="text1"/>
          <w:sz w:val="26"/>
          <w:szCs w:val="26"/>
          <w:rtl/>
          <w:lang w:bidi="ar-EG"/>
        </w:rPr>
        <w:t>، 2023، ص 460)</w:t>
      </w:r>
      <w:r w:rsidR="0092195F" w:rsidRPr="00E24FBE">
        <w:rPr>
          <w:rFonts w:hint="cs"/>
          <w:color w:val="000000" w:themeColor="text1"/>
          <w:sz w:val="26"/>
          <w:szCs w:val="26"/>
          <w:rtl/>
          <w:lang w:bidi="ar-EG"/>
        </w:rPr>
        <w:t>.</w:t>
      </w:r>
    </w:p>
    <w:p w14:paraId="04BB505F" w14:textId="77777777" w:rsidR="0092195F" w:rsidRPr="00E24FBE" w:rsidRDefault="0092195F" w:rsidP="00C85ED3">
      <w:pPr>
        <w:spacing w:line="221" w:lineRule="auto"/>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في ضوء أهمية أسعار الأسهم باعتبارها تعكس المعلومات الواردة للسوق ويتحدد على أساسها مدى كفاءة سوق الأوراق المالية، سوف تتناول الباحث في المبحث التالي مدى تأثير الإفصاح عن المحتوى المعلومات لبنود الدخل الشامل على سلوك أسعار الأسهم، ومن ثم التأثير على كفاءة سوق الأوراق المالية. </w:t>
      </w:r>
    </w:p>
    <w:p w14:paraId="0C0EFD21" w14:textId="27DF4670" w:rsidR="0092195F" w:rsidRPr="006C01C2" w:rsidRDefault="006C01C2" w:rsidP="002C31E5">
      <w:pPr>
        <w:ind w:left="424" w:hanging="424"/>
        <w:jc w:val="lowKashida"/>
        <w:rPr>
          <w:b/>
          <w:bCs/>
          <w:color w:val="000000" w:themeColor="text1"/>
          <w:lang w:bidi="ar-EG"/>
        </w:rPr>
      </w:pPr>
      <w:r>
        <w:rPr>
          <w:rFonts w:hint="cs"/>
          <w:b/>
          <w:bCs/>
          <w:color w:val="000000" w:themeColor="text1"/>
          <w:rtl/>
          <w:lang w:bidi="ar-EG"/>
        </w:rPr>
        <w:lastRenderedPageBreak/>
        <w:t>5-</w:t>
      </w:r>
      <w:r w:rsidR="0092195F" w:rsidRPr="006C01C2">
        <w:rPr>
          <w:rFonts w:hint="cs"/>
          <w:b/>
          <w:bCs/>
          <w:color w:val="000000" w:themeColor="text1"/>
          <w:rtl/>
          <w:lang w:bidi="ar-EG"/>
        </w:rPr>
        <w:t xml:space="preserve"> العلاقة بين الإفصاح </w:t>
      </w:r>
      <w:proofErr w:type="spellStart"/>
      <w:r w:rsidR="0092195F" w:rsidRPr="006C01C2">
        <w:rPr>
          <w:rFonts w:hint="cs"/>
          <w:b/>
          <w:bCs/>
          <w:color w:val="000000" w:themeColor="text1"/>
          <w:rtl/>
          <w:lang w:bidi="ar-EG"/>
        </w:rPr>
        <w:t>المحاسبى</w:t>
      </w:r>
      <w:proofErr w:type="spellEnd"/>
      <w:r w:rsidR="0092195F" w:rsidRPr="006C01C2">
        <w:rPr>
          <w:rFonts w:hint="cs"/>
          <w:b/>
          <w:bCs/>
          <w:color w:val="000000" w:themeColor="text1"/>
          <w:rtl/>
          <w:lang w:bidi="ar-EG"/>
        </w:rPr>
        <w:t xml:space="preserve"> عن بنود الدخل الشامل وأسعار الأسهم في سوق الأوراق المالية المصرية.</w:t>
      </w:r>
    </w:p>
    <w:p w14:paraId="7B9E67AF" w14:textId="6FD11E5A" w:rsidR="0092195F" w:rsidRPr="003860BB" w:rsidRDefault="0092195F" w:rsidP="00C24E42">
      <w:pPr>
        <w:pStyle w:val="Heading1"/>
        <w:spacing w:before="0"/>
        <w:rPr>
          <w:rFonts w:cs="Simplified Arabic"/>
          <w:b/>
          <w:bCs/>
          <w:color w:val="000000" w:themeColor="text1"/>
          <w:szCs w:val="26"/>
          <w:rtl/>
          <w:lang w:bidi="ar-EG"/>
        </w:rPr>
      </w:pPr>
      <w:r w:rsidRPr="003860BB">
        <w:rPr>
          <w:rFonts w:cs="Simplified Arabic" w:hint="cs"/>
          <w:b/>
          <w:bCs/>
          <w:color w:val="000000" w:themeColor="text1"/>
          <w:szCs w:val="26"/>
          <w:rtl/>
          <w:lang w:bidi="ar-EG"/>
        </w:rPr>
        <w:t xml:space="preserve">5/1 العلاقة بين الإفصاح </w:t>
      </w:r>
      <w:proofErr w:type="spellStart"/>
      <w:r w:rsidRPr="003860BB">
        <w:rPr>
          <w:rFonts w:cs="Simplified Arabic" w:hint="cs"/>
          <w:b/>
          <w:bCs/>
          <w:color w:val="000000" w:themeColor="text1"/>
          <w:szCs w:val="26"/>
          <w:rtl/>
          <w:lang w:bidi="ar-EG"/>
        </w:rPr>
        <w:t>المحاسبى</w:t>
      </w:r>
      <w:proofErr w:type="spellEnd"/>
      <w:r w:rsidRPr="003860BB">
        <w:rPr>
          <w:rFonts w:cs="Simplified Arabic" w:hint="cs"/>
          <w:b/>
          <w:bCs/>
          <w:color w:val="000000" w:themeColor="text1"/>
          <w:szCs w:val="26"/>
          <w:rtl/>
          <w:lang w:bidi="ar-EG"/>
        </w:rPr>
        <w:t xml:space="preserve"> عن المكاسب والخسائر غير المحققة الناتجة عن إعادة تقييم الأصول المالية المتاحة للبيع وسلوك أسعار الأسهم:</w:t>
      </w:r>
    </w:p>
    <w:p w14:paraId="3D68EA89" w14:textId="7A988D1B" w:rsidR="0092195F" w:rsidRPr="00E24FBE" w:rsidRDefault="00F96BDA" w:rsidP="00C24E42">
      <w:pPr>
        <w:ind w:firstLine="720"/>
        <w:jc w:val="lowKashida"/>
        <w:rPr>
          <w:color w:val="000000" w:themeColor="text1"/>
          <w:spacing w:val="-4"/>
          <w:sz w:val="26"/>
          <w:szCs w:val="26"/>
          <w:rtl/>
          <w:lang w:bidi="ar-EG"/>
        </w:rPr>
      </w:pPr>
      <w:r w:rsidRPr="00E24FBE">
        <w:rPr>
          <w:rFonts w:hint="cs"/>
          <w:color w:val="000000" w:themeColor="text1"/>
          <w:spacing w:val="-4"/>
          <w:sz w:val="26"/>
          <w:szCs w:val="26"/>
          <w:rtl/>
          <w:lang w:bidi="ar-EG"/>
        </w:rPr>
        <w:t xml:space="preserve"> </w:t>
      </w:r>
      <w:r w:rsidR="0092195F" w:rsidRPr="00E24FBE">
        <w:rPr>
          <w:rFonts w:hint="cs"/>
          <w:color w:val="000000" w:themeColor="text1"/>
          <w:spacing w:val="-4"/>
          <w:sz w:val="26"/>
          <w:szCs w:val="26"/>
          <w:rtl/>
          <w:lang w:bidi="ar-EG"/>
        </w:rPr>
        <w:t xml:space="preserve">تناولت دراسة </w:t>
      </w:r>
      <w:r w:rsidR="0092195F" w:rsidRPr="00E24FBE">
        <w:rPr>
          <w:color w:val="000000" w:themeColor="text1"/>
          <w:spacing w:val="-4"/>
          <w:sz w:val="26"/>
          <w:szCs w:val="26"/>
          <w:lang w:bidi="ar-EG"/>
        </w:rPr>
        <w:t>(</w:t>
      </w:r>
      <w:proofErr w:type="spellStart"/>
      <w:r w:rsidR="0092195F" w:rsidRPr="00E24FBE">
        <w:rPr>
          <w:color w:val="000000" w:themeColor="text1"/>
          <w:spacing w:val="-4"/>
          <w:sz w:val="26"/>
          <w:szCs w:val="26"/>
        </w:rPr>
        <w:t>Youssefinejad</w:t>
      </w:r>
      <w:proofErr w:type="spellEnd"/>
      <w:r w:rsidR="0092195F" w:rsidRPr="00E24FBE">
        <w:rPr>
          <w:color w:val="000000" w:themeColor="text1"/>
          <w:spacing w:val="-4"/>
          <w:sz w:val="26"/>
          <w:szCs w:val="26"/>
        </w:rPr>
        <w:t xml:space="preserve"> and  </w:t>
      </w:r>
      <w:proofErr w:type="spellStart"/>
      <w:r w:rsidR="0092195F" w:rsidRPr="00E24FBE">
        <w:rPr>
          <w:color w:val="000000" w:themeColor="text1"/>
          <w:spacing w:val="-4"/>
          <w:sz w:val="26"/>
          <w:szCs w:val="26"/>
        </w:rPr>
        <w:t>Embong</w:t>
      </w:r>
      <w:proofErr w:type="spellEnd"/>
      <w:r w:rsidR="0092195F" w:rsidRPr="00E24FBE">
        <w:rPr>
          <w:color w:val="000000" w:themeColor="text1"/>
          <w:spacing w:val="-4"/>
          <w:sz w:val="26"/>
          <w:szCs w:val="26"/>
        </w:rPr>
        <w:t>,  2017,P 140)</w:t>
      </w:r>
      <w:r w:rsidR="0092195F" w:rsidRPr="00E24FBE">
        <w:rPr>
          <w:color w:val="000000" w:themeColor="text1"/>
          <w:spacing w:val="-4"/>
          <w:sz w:val="26"/>
          <w:szCs w:val="26"/>
          <w:vertAlign w:val="superscript"/>
          <w:lang w:bidi="ar-EG"/>
        </w:rPr>
        <w:t xml:space="preserve"> </w:t>
      </w:r>
      <w:r w:rsidR="0092195F" w:rsidRPr="00E24FBE">
        <w:rPr>
          <w:rFonts w:hint="cs"/>
          <w:color w:val="000000" w:themeColor="text1"/>
          <w:spacing w:val="-4"/>
          <w:sz w:val="26"/>
          <w:szCs w:val="26"/>
          <w:vertAlign w:val="superscript"/>
          <w:rtl/>
          <w:lang w:bidi="ar-EG"/>
        </w:rPr>
        <w:t xml:space="preserve"> </w:t>
      </w:r>
      <w:r w:rsidR="0092195F" w:rsidRPr="00E24FBE">
        <w:rPr>
          <w:rFonts w:hint="cs"/>
          <w:color w:val="000000" w:themeColor="text1"/>
          <w:spacing w:val="-4"/>
          <w:sz w:val="26"/>
          <w:szCs w:val="26"/>
          <w:rtl/>
          <w:lang w:bidi="ar-EG"/>
        </w:rPr>
        <w:t xml:space="preserve">التعرف على ما إذا كان الدخل الشامل ومكوناته المتمثلة في المكاسب والخسائر الناتجة عن إعادة تقييم الأصول المالية المتاحة للبيع ذات أهمية في دولة ماليزيا باعتبارها دولة نامية، حيث ركزت معظم الدراسات على البلدان المتقدمة حيث يكون السوق نشط وأكثر كفاءة، وذلك من خلال التطبيق على عينة مكونة من 1419 مشاهدة خلال الفترة من 2011 إلى 2013 على المنشآت المدرجة في السوق </w:t>
      </w:r>
      <w:proofErr w:type="spellStart"/>
      <w:r w:rsidR="0092195F" w:rsidRPr="00E24FBE">
        <w:rPr>
          <w:rFonts w:hint="cs"/>
          <w:color w:val="000000" w:themeColor="text1"/>
          <w:spacing w:val="-4"/>
          <w:sz w:val="26"/>
          <w:szCs w:val="26"/>
          <w:rtl/>
          <w:lang w:bidi="ar-EG"/>
        </w:rPr>
        <w:t>الرئيسى</w:t>
      </w:r>
      <w:proofErr w:type="spellEnd"/>
      <w:r w:rsidR="0092195F" w:rsidRPr="00E24FBE">
        <w:rPr>
          <w:rFonts w:hint="cs"/>
          <w:color w:val="000000" w:themeColor="text1"/>
          <w:spacing w:val="-4"/>
          <w:sz w:val="26"/>
          <w:szCs w:val="26"/>
          <w:rtl/>
          <w:lang w:bidi="ar-EG"/>
        </w:rPr>
        <w:t xml:space="preserve"> لبورصة ماليزيا. وتوصلت الدراسة إلى أن الدخل الشامل ملائم للقيمة</w:t>
      </w:r>
      <w:r w:rsidR="0092195F" w:rsidRPr="00E24FBE">
        <w:rPr>
          <w:color w:val="000000" w:themeColor="text1"/>
          <w:spacing w:val="-4"/>
          <w:sz w:val="26"/>
          <w:szCs w:val="26"/>
          <w:lang w:bidi="ar-EG"/>
        </w:rPr>
        <w:t xml:space="preserve"> </w:t>
      </w:r>
      <w:r w:rsidR="0092195F" w:rsidRPr="00E24FBE">
        <w:rPr>
          <w:rFonts w:hint="cs"/>
          <w:color w:val="000000" w:themeColor="text1"/>
          <w:spacing w:val="-4"/>
          <w:sz w:val="26"/>
          <w:szCs w:val="26"/>
          <w:rtl/>
          <w:lang w:bidi="ar-EG"/>
        </w:rPr>
        <w:t xml:space="preserve"> أي أن المعلومات عن الدخل الشامل الآخر ومكوناته مفيدة في ترشيد قرارات المستثمرين، وتوصلت أيضاً إلى وجود علاقة ارتباط إيجابية بين المكاسب والخسائر غير المحققة للأصول المالية المتاحة للبيع وأسعار الأسهم. </w:t>
      </w:r>
    </w:p>
    <w:p w14:paraId="7CFA4CFA" w14:textId="2E37212C" w:rsidR="0092195F" w:rsidRPr="00E24FBE" w:rsidRDefault="0092195F" w:rsidP="00C24E42">
      <w:pPr>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كما </w:t>
      </w:r>
      <w:proofErr w:type="gramStart"/>
      <w:r w:rsidRPr="00E24FBE">
        <w:rPr>
          <w:rFonts w:hint="cs"/>
          <w:color w:val="000000" w:themeColor="text1"/>
          <w:sz w:val="26"/>
          <w:szCs w:val="26"/>
          <w:rtl/>
          <w:lang w:bidi="ar-EG"/>
        </w:rPr>
        <w:t>هدفت  دراسة</w:t>
      </w:r>
      <w:proofErr w:type="gramEnd"/>
      <w:r w:rsidRPr="00E24FBE">
        <w:rPr>
          <w:rFonts w:hint="cs"/>
          <w:color w:val="000000" w:themeColor="text1"/>
          <w:sz w:val="26"/>
          <w:szCs w:val="26"/>
          <w:rtl/>
          <w:lang w:bidi="ar-EG"/>
        </w:rPr>
        <w:t xml:space="preserve"> </w:t>
      </w:r>
      <w:r w:rsidRPr="00E24FBE">
        <w:rPr>
          <w:color w:val="000000" w:themeColor="text1"/>
          <w:sz w:val="26"/>
          <w:szCs w:val="26"/>
        </w:rPr>
        <w:t xml:space="preserve"> (Khan, et al., 2018, P 285)</w:t>
      </w:r>
      <w:r w:rsidRPr="00E24FBE">
        <w:rPr>
          <w:color w:val="000000" w:themeColor="text1"/>
          <w:sz w:val="26"/>
          <w:szCs w:val="26"/>
          <w:vertAlign w:val="superscript"/>
          <w:lang w:bidi="ar-EG"/>
        </w:rPr>
        <w:t xml:space="preserve"> </w:t>
      </w:r>
      <w:r w:rsidRPr="00E24FBE">
        <w:rPr>
          <w:rFonts w:hint="cs"/>
          <w:color w:val="000000" w:themeColor="text1"/>
          <w:sz w:val="26"/>
          <w:szCs w:val="26"/>
          <w:vertAlign w:val="superscript"/>
          <w:rtl/>
          <w:lang w:bidi="ar-EG"/>
        </w:rPr>
        <w:t xml:space="preserve"> </w:t>
      </w:r>
      <w:r w:rsidRPr="00E24FBE">
        <w:rPr>
          <w:rFonts w:hint="cs"/>
          <w:color w:val="000000" w:themeColor="text1"/>
          <w:sz w:val="26"/>
          <w:szCs w:val="26"/>
          <w:rtl/>
          <w:lang w:bidi="ar-EG"/>
        </w:rPr>
        <w:t xml:space="preserve">إلى اختبار ملاءمة القيمة </w:t>
      </w:r>
      <w:proofErr w:type="spellStart"/>
      <w:r w:rsidRPr="00E24FBE">
        <w:rPr>
          <w:rFonts w:hint="cs"/>
          <w:color w:val="000000" w:themeColor="text1"/>
          <w:sz w:val="26"/>
          <w:szCs w:val="26"/>
          <w:rtl/>
          <w:lang w:bidi="ar-EG"/>
        </w:rPr>
        <w:t>لإجمالى</w:t>
      </w:r>
      <w:proofErr w:type="spellEnd"/>
      <w:r w:rsidRPr="00E24FBE">
        <w:rPr>
          <w:rFonts w:hint="cs"/>
          <w:color w:val="000000" w:themeColor="text1"/>
          <w:sz w:val="26"/>
          <w:szCs w:val="26"/>
          <w:rtl/>
          <w:lang w:bidi="ar-EG"/>
        </w:rPr>
        <w:t xml:space="preserve"> الدخل الشامل ومكوناته وذلك بالتطبيق على عينة مكونة من 92 منشأة نيوزيلندية خلال الفترة من 2003 إلى 2010. وتوصلت الدراسة إلى أن الدخل الشامل أكثر ارتباطاً بأسعار وعوائد الأسهم مقارنة </w:t>
      </w:r>
      <w:proofErr w:type="spellStart"/>
      <w:r w:rsidRPr="00E24FBE">
        <w:rPr>
          <w:rFonts w:hint="cs"/>
          <w:color w:val="000000" w:themeColor="text1"/>
          <w:sz w:val="26"/>
          <w:szCs w:val="26"/>
          <w:rtl/>
          <w:lang w:bidi="ar-EG"/>
        </w:rPr>
        <w:t>بصافى</w:t>
      </w:r>
      <w:proofErr w:type="spellEnd"/>
      <w:r w:rsidRPr="00E24FBE">
        <w:rPr>
          <w:rFonts w:hint="cs"/>
          <w:color w:val="000000" w:themeColor="text1"/>
          <w:sz w:val="26"/>
          <w:szCs w:val="26"/>
          <w:rtl/>
          <w:lang w:bidi="ar-EG"/>
        </w:rPr>
        <w:t xml:space="preserve"> الدخل </w:t>
      </w:r>
      <w:proofErr w:type="spellStart"/>
      <w:r w:rsidRPr="00E24FBE">
        <w:rPr>
          <w:rFonts w:hint="cs"/>
          <w:color w:val="000000" w:themeColor="text1"/>
          <w:sz w:val="26"/>
          <w:szCs w:val="26"/>
          <w:rtl/>
          <w:lang w:bidi="ar-EG"/>
        </w:rPr>
        <w:t>التقليدى</w:t>
      </w:r>
      <w:proofErr w:type="spellEnd"/>
      <w:r w:rsidRPr="00E24FBE">
        <w:rPr>
          <w:rFonts w:hint="cs"/>
          <w:color w:val="000000" w:themeColor="text1"/>
          <w:sz w:val="26"/>
          <w:szCs w:val="26"/>
          <w:rtl/>
          <w:lang w:bidi="ar-EG"/>
        </w:rPr>
        <w:t xml:space="preserve">، وتوصلت أيضاً إلى أنه يوجد ارتباط </w:t>
      </w:r>
      <w:proofErr w:type="spellStart"/>
      <w:r w:rsidRPr="00E24FBE">
        <w:rPr>
          <w:rFonts w:hint="cs"/>
          <w:color w:val="000000" w:themeColor="text1"/>
          <w:sz w:val="26"/>
          <w:szCs w:val="26"/>
          <w:rtl/>
          <w:lang w:bidi="ar-EG"/>
        </w:rPr>
        <w:t>إيجابى</w:t>
      </w:r>
      <w:proofErr w:type="spellEnd"/>
      <w:r w:rsidRPr="00E24FBE">
        <w:rPr>
          <w:rFonts w:hint="cs"/>
          <w:color w:val="000000" w:themeColor="text1"/>
          <w:sz w:val="26"/>
          <w:szCs w:val="26"/>
          <w:rtl/>
          <w:lang w:bidi="ar-EG"/>
        </w:rPr>
        <w:t xml:space="preserve"> بين التغيرات في القيمة العادلة للأوراق المالية المتاحة للبيع وأسعار وعوائد الأسهم.</w:t>
      </w:r>
    </w:p>
    <w:p w14:paraId="29681067" w14:textId="77777777" w:rsidR="0092195F" w:rsidRPr="00C85ED3" w:rsidRDefault="0092195F" w:rsidP="00C24E42">
      <w:pPr>
        <w:ind w:firstLine="720"/>
        <w:jc w:val="lowKashida"/>
        <w:rPr>
          <w:color w:val="000000" w:themeColor="text1"/>
          <w:spacing w:val="-6"/>
          <w:sz w:val="26"/>
          <w:szCs w:val="26"/>
          <w:rtl/>
          <w:lang w:bidi="ar-EG"/>
        </w:rPr>
      </w:pPr>
      <w:r w:rsidRPr="00C85ED3">
        <w:rPr>
          <w:rFonts w:hint="cs"/>
          <w:color w:val="000000" w:themeColor="text1"/>
          <w:spacing w:val="-6"/>
          <w:sz w:val="26"/>
          <w:szCs w:val="26"/>
          <w:rtl/>
          <w:lang w:bidi="ar-EG"/>
        </w:rPr>
        <w:t xml:space="preserve">وفى ضوء ما سبق ترى الباحثة أن هناك علاقة طردية بين الإفصاح </w:t>
      </w:r>
      <w:proofErr w:type="spellStart"/>
      <w:r w:rsidRPr="00C85ED3">
        <w:rPr>
          <w:rFonts w:hint="cs"/>
          <w:color w:val="000000" w:themeColor="text1"/>
          <w:spacing w:val="-6"/>
          <w:sz w:val="26"/>
          <w:szCs w:val="26"/>
          <w:rtl/>
          <w:lang w:bidi="ar-EG"/>
        </w:rPr>
        <w:t>المحاسبى</w:t>
      </w:r>
      <w:proofErr w:type="spellEnd"/>
      <w:r w:rsidRPr="00C85ED3">
        <w:rPr>
          <w:rFonts w:hint="cs"/>
          <w:color w:val="000000" w:themeColor="text1"/>
          <w:spacing w:val="-6"/>
          <w:sz w:val="26"/>
          <w:szCs w:val="26"/>
          <w:rtl/>
          <w:lang w:bidi="ar-EG"/>
        </w:rPr>
        <w:t xml:space="preserve"> عن المكاسب والخسائر غير المحققة الناتجة عن إعادة تقييم الأصول المالية وأسعار الأسهم، حيث يزيد سعر السهم بالمكاسب غير المحققة على الاستثمارات المتاحة للبيع ويقل بالخسائر غير المحققة على الاستثمارات المتاحة للبيع.</w:t>
      </w:r>
    </w:p>
    <w:p w14:paraId="232D5C17" w14:textId="445840F8" w:rsidR="00DA3CA5" w:rsidRPr="00E0558C" w:rsidRDefault="00DA3CA5" w:rsidP="00C24E42">
      <w:pPr>
        <w:pStyle w:val="Heading1"/>
        <w:spacing w:before="0"/>
        <w:rPr>
          <w:rFonts w:cs="Simplified Arabic"/>
          <w:b/>
          <w:bCs/>
          <w:color w:val="000000" w:themeColor="text1"/>
          <w:spacing w:val="-4"/>
          <w:szCs w:val="26"/>
          <w:rtl/>
          <w:lang w:bidi="ar-EG"/>
        </w:rPr>
      </w:pPr>
      <w:r w:rsidRPr="00E0558C">
        <w:rPr>
          <w:rFonts w:cs="Simplified Arabic" w:hint="cs"/>
          <w:b/>
          <w:bCs/>
          <w:color w:val="000000" w:themeColor="text1"/>
          <w:spacing w:val="-4"/>
          <w:szCs w:val="26"/>
          <w:rtl/>
          <w:lang w:bidi="ar-EG"/>
        </w:rPr>
        <w:t xml:space="preserve">5/2 العلاقة بين الإفصاح </w:t>
      </w:r>
      <w:proofErr w:type="spellStart"/>
      <w:r w:rsidRPr="00E0558C">
        <w:rPr>
          <w:rFonts w:cs="Simplified Arabic" w:hint="cs"/>
          <w:b/>
          <w:bCs/>
          <w:color w:val="000000" w:themeColor="text1"/>
          <w:spacing w:val="-4"/>
          <w:szCs w:val="26"/>
          <w:rtl/>
          <w:lang w:bidi="ar-EG"/>
        </w:rPr>
        <w:t>المحاسبى</w:t>
      </w:r>
      <w:proofErr w:type="spellEnd"/>
      <w:r w:rsidRPr="00E0558C">
        <w:rPr>
          <w:rFonts w:cs="Simplified Arabic" w:hint="cs"/>
          <w:b/>
          <w:bCs/>
          <w:color w:val="000000" w:themeColor="text1"/>
          <w:spacing w:val="-4"/>
          <w:szCs w:val="26"/>
          <w:rtl/>
          <w:lang w:bidi="ar-EG"/>
        </w:rPr>
        <w:t xml:space="preserve"> عن الجزء الفعال من المكاسب والخسائر على أدوات التغطية المستخدمة في تحوط التدفقات النقدية وسلوك أسعار الأسهم:</w:t>
      </w:r>
    </w:p>
    <w:p w14:paraId="72D5CBCD" w14:textId="6051A192" w:rsidR="00DA3CA5" w:rsidRPr="00E24FBE" w:rsidRDefault="00DA3CA5" w:rsidP="00C24E42">
      <w:pPr>
        <w:ind w:firstLine="720"/>
        <w:jc w:val="lowKashida"/>
        <w:rPr>
          <w:color w:val="000000" w:themeColor="text1"/>
          <w:sz w:val="26"/>
          <w:szCs w:val="26"/>
          <w:rtl/>
          <w:lang w:bidi="ar-EG"/>
        </w:rPr>
      </w:pPr>
      <w:proofErr w:type="spellStart"/>
      <w:proofErr w:type="gramStart"/>
      <w:r w:rsidRPr="00E24FBE">
        <w:rPr>
          <w:rFonts w:hint="cs"/>
          <w:color w:val="000000" w:themeColor="text1"/>
          <w:sz w:val="26"/>
          <w:szCs w:val="26"/>
          <w:rtl/>
          <w:lang w:bidi="ar-EG"/>
        </w:rPr>
        <w:t>إختبرت</w:t>
      </w:r>
      <w:proofErr w:type="spellEnd"/>
      <w:r w:rsidRPr="00E24FBE">
        <w:rPr>
          <w:rFonts w:hint="cs"/>
          <w:color w:val="000000" w:themeColor="text1"/>
          <w:sz w:val="26"/>
          <w:szCs w:val="26"/>
          <w:rtl/>
          <w:lang w:bidi="ar-EG"/>
        </w:rPr>
        <w:t xml:space="preserve"> </w:t>
      </w:r>
      <w:r w:rsidRPr="00E24FBE">
        <w:rPr>
          <w:color w:val="000000" w:themeColor="text1"/>
          <w:sz w:val="26"/>
          <w:szCs w:val="26"/>
          <w:lang w:bidi="ar-EG"/>
        </w:rPr>
        <w:t xml:space="preserve"> </w:t>
      </w:r>
      <w:r w:rsidRPr="00E24FBE">
        <w:rPr>
          <w:rFonts w:hint="cs"/>
          <w:color w:val="000000" w:themeColor="text1"/>
          <w:sz w:val="26"/>
          <w:szCs w:val="26"/>
          <w:rtl/>
          <w:lang w:bidi="ar-EG"/>
        </w:rPr>
        <w:t>دراسة</w:t>
      </w:r>
      <w:proofErr w:type="gramEnd"/>
      <w:r w:rsidRPr="00E24FBE">
        <w:rPr>
          <w:rFonts w:hint="cs"/>
          <w:color w:val="000000" w:themeColor="text1"/>
          <w:sz w:val="26"/>
          <w:szCs w:val="26"/>
          <w:rtl/>
          <w:lang w:bidi="ar-EG"/>
        </w:rPr>
        <w:t xml:space="preserve"> </w:t>
      </w:r>
      <w:r w:rsidRPr="00E24FBE">
        <w:rPr>
          <w:color w:val="000000" w:themeColor="text1"/>
          <w:sz w:val="26"/>
          <w:szCs w:val="26"/>
          <w:lang w:bidi="ar-EG"/>
        </w:rPr>
        <w:t>(Campbelle, et al., 2013, P 30)</w:t>
      </w:r>
      <w:r w:rsidRPr="00E24FBE">
        <w:rPr>
          <w:color w:val="000000" w:themeColor="text1"/>
          <w:sz w:val="26"/>
          <w:szCs w:val="26"/>
          <w:vertAlign w:val="superscript"/>
          <w:lang w:bidi="ar-EG"/>
        </w:rPr>
        <w:t xml:space="preserve"> </w:t>
      </w:r>
      <w:r w:rsidRPr="00E24FBE">
        <w:rPr>
          <w:rFonts w:hint="cs"/>
          <w:color w:val="000000" w:themeColor="text1"/>
          <w:sz w:val="26"/>
          <w:szCs w:val="26"/>
          <w:rtl/>
          <w:lang w:bidi="ar-EG"/>
        </w:rPr>
        <w:t xml:space="preserve"> العلاقة بين أخطاء تنبؤات المحللين الماليين بالأرباح المستقبلية والمكاسب والخسائر غير المحققة من تحوط التدفقات النقدية، وذلك بالتطبيق على عينة مكونة 486 منشأة خلال الفترة من 2001 وهو العام الذى تم فيه اعتماد معيار </w:t>
      </w:r>
      <w:r w:rsidRPr="00E24FBE">
        <w:rPr>
          <w:color w:val="000000" w:themeColor="text1"/>
          <w:sz w:val="26"/>
          <w:szCs w:val="26"/>
          <w:lang w:bidi="ar-EG"/>
        </w:rPr>
        <w:t xml:space="preserve">SFAS </w:t>
      </w:r>
      <w:r w:rsidRPr="00E24FBE">
        <w:rPr>
          <w:rFonts w:hint="cs"/>
          <w:color w:val="000000" w:themeColor="text1"/>
          <w:sz w:val="26"/>
          <w:szCs w:val="26"/>
          <w:rtl/>
          <w:lang w:bidi="ar-EG"/>
        </w:rPr>
        <w:t xml:space="preserve"> </w:t>
      </w:r>
      <w:r w:rsidRPr="00E24FBE">
        <w:rPr>
          <w:color w:val="000000" w:themeColor="text1"/>
          <w:sz w:val="26"/>
          <w:szCs w:val="26"/>
          <w:lang w:bidi="ar-EG"/>
        </w:rPr>
        <w:t>(133)</w:t>
      </w:r>
      <w:r w:rsidRPr="00E24FBE">
        <w:rPr>
          <w:rFonts w:hint="cs"/>
          <w:color w:val="000000" w:themeColor="text1"/>
          <w:sz w:val="26"/>
          <w:szCs w:val="26"/>
          <w:rtl/>
          <w:lang w:bidi="ar-EG"/>
        </w:rPr>
        <w:t xml:space="preserve"> إلى عام 2008. وتوصلت الدراسة إلى أن هناك ارتباط سلبى بين المكاسب والخسائر غير المحققة من تحوط التدفقات النقدية وتوقعات المحللين الماليين، وذلك لأنهم يجدوا صعوبة في معالجة هذه المعلومات ولكن يمكن التخفيف من هذه المشكلة لكل من المحللين والمستثمرين من خلال تقديم الإدارة  طواعية </w:t>
      </w:r>
      <w:proofErr w:type="spellStart"/>
      <w:r w:rsidRPr="00E24FBE">
        <w:rPr>
          <w:rFonts w:hint="cs"/>
          <w:color w:val="000000" w:themeColor="text1"/>
          <w:sz w:val="26"/>
          <w:szCs w:val="26"/>
          <w:rtl/>
          <w:lang w:bidi="ar-EG"/>
        </w:rPr>
        <w:t>إفصاحات</w:t>
      </w:r>
      <w:proofErr w:type="spellEnd"/>
      <w:r w:rsidRPr="00E24FBE">
        <w:rPr>
          <w:rFonts w:hint="cs"/>
          <w:color w:val="000000" w:themeColor="text1"/>
          <w:sz w:val="26"/>
          <w:szCs w:val="26"/>
          <w:rtl/>
          <w:lang w:bidi="ar-EG"/>
        </w:rPr>
        <w:t xml:space="preserve"> أكثر شفافية. </w:t>
      </w:r>
    </w:p>
    <w:p w14:paraId="0EF861CD" w14:textId="1134C1DB" w:rsidR="00DA3CA5" w:rsidRPr="00E24FBE" w:rsidRDefault="00DA3CA5" w:rsidP="00C24E42">
      <w:pPr>
        <w:ind w:firstLine="720"/>
        <w:jc w:val="lowKashida"/>
        <w:rPr>
          <w:color w:val="000000" w:themeColor="text1"/>
          <w:sz w:val="26"/>
          <w:szCs w:val="26"/>
          <w:rtl/>
          <w:lang w:bidi="ar-EG"/>
        </w:rPr>
      </w:pPr>
      <w:r w:rsidRPr="00E24FBE">
        <w:rPr>
          <w:rFonts w:hint="cs"/>
          <w:color w:val="000000" w:themeColor="text1"/>
          <w:sz w:val="26"/>
          <w:szCs w:val="26"/>
          <w:rtl/>
          <w:lang w:bidi="ar-EG"/>
        </w:rPr>
        <w:lastRenderedPageBreak/>
        <w:t xml:space="preserve">واختبرت أيضاً </w:t>
      </w:r>
      <w:proofErr w:type="gramStart"/>
      <w:r w:rsidRPr="00E24FBE">
        <w:rPr>
          <w:rFonts w:hint="cs"/>
          <w:color w:val="000000" w:themeColor="text1"/>
          <w:sz w:val="26"/>
          <w:szCs w:val="26"/>
          <w:rtl/>
          <w:lang w:bidi="ar-EG"/>
        </w:rPr>
        <w:t>دراسة</w:t>
      </w:r>
      <w:r w:rsidRPr="00E24FBE">
        <w:rPr>
          <w:color w:val="000000" w:themeColor="text1"/>
          <w:sz w:val="26"/>
          <w:szCs w:val="26"/>
          <w:lang w:bidi="ar-EG"/>
        </w:rPr>
        <w:t>(</w:t>
      </w:r>
      <w:proofErr w:type="gramEnd"/>
      <w:r w:rsidRPr="00E24FBE">
        <w:rPr>
          <w:color w:val="000000" w:themeColor="text1"/>
          <w:sz w:val="26"/>
          <w:szCs w:val="26"/>
          <w:lang w:bidi="ar-EG"/>
        </w:rPr>
        <w:t xml:space="preserve">Jahmani, et al., 2017, P 8) </w:t>
      </w:r>
      <w:r w:rsidRPr="00E24FBE">
        <w:rPr>
          <w:rFonts w:hint="cs"/>
          <w:color w:val="000000" w:themeColor="text1"/>
          <w:sz w:val="26"/>
          <w:szCs w:val="26"/>
          <w:rtl/>
          <w:lang w:bidi="ar-EG"/>
        </w:rPr>
        <w:t xml:space="preserve"> ما إذا كان الإفصاح عن الدخل الشامل ومكوناته قد يؤثر على أسعار وعوائد الأسهم، وذلك من خلال التطبيق على عينة مكونة من 446 منشأة خلال عام 2014. وتوصلت الدراسة إلى هناك ارتباط بين الإفصاح عن مكونات الدخل الشامل الأخر وأسعار وعوائد الأسهم خاصة بند المكاسب والخسائر غير المحققة من تحوط التدفقات النقدية.</w:t>
      </w:r>
    </w:p>
    <w:p w14:paraId="69CC9F5B" w14:textId="77777777" w:rsidR="00DA3CA5" w:rsidRPr="00C85ED3" w:rsidRDefault="00DA3CA5" w:rsidP="00C24E42">
      <w:pPr>
        <w:ind w:firstLine="720"/>
        <w:jc w:val="lowKashida"/>
        <w:rPr>
          <w:color w:val="000000" w:themeColor="text1"/>
          <w:spacing w:val="-4"/>
          <w:sz w:val="26"/>
          <w:szCs w:val="26"/>
          <w:lang w:bidi="ar-EG"/>
        </w:rPr>
      </w:pPr>
      <w:r w:rsidRPr="00C85ED3">
        <w:rPr>
          <w:rFonts w:hint="cs"/>
          <w:color w:val="000000" w:themeColor="text1"/>
          <w:spacing w:val="-4"/>
          <w:sz w:val="26"/>
          <w:szCs w:val="26"/>
          <w:rtl/>
          <w:lang w:bidi="ar-EG"/>
        </w:rPr>
        <w:t xml:space="preserve">وفى ضوء ما سبق ترى الباحثة أهمية الإفصاح عن هذا البند لأنه يساعد مستخدمو القوائم المالية في تقييم المخاطر التي يمكن أن تتعرض لها المنشأة، هذا بالإضافة لوجود علاقة طردية بين الإفصاح عن المكاسب والخسائر غير المحققة من تحوط  التدفقات النقدية وأسعار الأسهم، حيث يزيد سعر السهم بالمكاسب غير المحققة من تحوط التدفقات النقدية ويقل بالخسائر غير المحققة من تحوط التدفقات النقدية.    </w:t>
      </w:r>
    </w:p>
    <w:p w14:paraId="39236335" w14:textId="6DB1EFCF" w:rsidR="00F701DB" w:rsidRPr="00D518DD" w:rsidRDefault="00F701DB" w:rsidP="00E0558C">
      <w:pPr>
        <w:ind w:left="424" w:hanging="424"/>
        <w:jc w:val="lowKashida"/>
        <w:rPr>
          <w:b/>
          <w:bCs/>
          <w:color w:val="000000" w:themeColor="text1"/>
          <w:sz w:val="26"/>
          <w:szCs w:val="26"/>
          <w:rtl/>
          <w:lang w:bidi="ar-EG"/>
        </w:rPr>
      </w:pPr>
      <w:r w:rsidRPr="00D518DD">
        <w:rPr>
          <w:rStyle w:val="Heading1Char"/>
          <w:rFonts w:cs="Simplified Arabic" w:hint="cs"/>
          <w:b/>
          <w:bCs/>
          <w:color w:val="000000" w:themeColor="text1"/>
          <w:szCs w:val="26"/>
          <w:rtl/>
          <w:lang w:bidi="ar-EG"/>
        </w:rPr>
        <w:t xml:space="preserve">5/3 </w:t>
      </w:r>
      <w:r w:rsidRPr="00D518DD">
        <w:rPr>
          <w:rStyle w:val="Heading1Char"/>
          <w:rFonts w:cs="Simplified Arabic" w:hint="cs"/>
          <w:b/>
          <w:bCs/>
          <w:color w:val="000000" w:themeColor="text1"/>
          <w:szCs w:val="26"/>
          <w:rtl/>
        </w:rPr>
        <w:t>العلاقة بين الإفصاح المحاسبي عن المكاسب والخسائر غير المحققة الناتجة عن تسويات ترجمة العملات الأجنبية وسلوك أسعار الأسهم</w:t>
      </w:r>
      <w:r w:rsidRPr="00D518DD">
        <w:rPr>
          <w:rFonts w:hint="cs"/>
          <w:b/>
          <w:bCs/>
          <w:color w:val="000000" w:themeColor="text1"/>
          <w:sz w:val="26"/>
          <w:szCs w:val="26"/>
          <w:rtl/>
          <w:lang w:bidi="ar-EG"/>
        </w:rPr>
        <w:t>:</w:t>
      </w:r>
    </w:p>
    <w:p w14:paraId="74D9B255" w14:textId="67B36660" w:rsidR="00F701DB" w:rsidRPr="00E24FBE" w:rsidRDefault="00F701DB" w:rsidP="00C24E42">
      <w:pPr>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واختبرت دراسة </w:t>
      </w:r>
      <w:r w:rsidRPr="00E24FBE">
        <w:rPr>
          <w:color w:val="000000" w:themeColor="text1"/>
          <w:sz w:val="26"/>
          <w:szCs w:val="26"/>
          <w:lang w:bidi="ar-EG"/>
        </w:rPr>
        <w:t>(</w:t>
      </w:r>
      <w:proofErr w:type="spellStart"/>
      <w:r w:rsidRPr="00E24FBE">
        <w:rPr>
          <w:color w:val="000000" w:themeColor="text1"/>
          <w:sz w:val="26"/>
          <w:szCs w:val="26"/>
          <w:lang w:bidi="ar-EG"/>
        </w:rPr>
        <w:t>Devalle</w:t>
      </w:r>
      <w:proofErr w:type="spellEnd"/>
      <w:r w:rsidRPr="00E24FBE">
        <w:rPr>
          <w:color w:val="000000" w:themeColor="text1"/>
          <w:sz w:val="26"/>
          <w:szCs w:val="26"/>
          <w:lang w:bidi="ar-EG"/>
        </w:rPr>
        <w:t xml:space="preserve"> and </w:t>
      </w:r>
      <w:proofErr w:type="spellStart"/>
      <w:r w:rsidRPr="00E24FBE">
        <w:rPr>
          <w:color w:val="000000" w:themeColor="text1"/>
          <w:sz w:val="26"/>
          <w:szCs w:val="26"/>
          <w:lang w:bidi="ar-EG"/>
        </w:rPr>
        <w:t>Magarini</w:t>
      </w:r>
      <w:proofErr w:type="spellEnd"/>
      <w:r w:rsidRPr="00E24FBE">
        <w:rPr>
          <w:color w:val="000000" w:themeColor="text1"/>
          <w:sz w:val="26"/>
          <w:szCs w:val="26"/>
          <w:lang w:bidi="ar-EG"/>
        </w:rPr>
        <w:t>, 2012, p 64)</w:t>
      </w:r>
      <w:r w:rsidRPr="00E24FBE">
        <w:rPr>
          <w:rFonts w:hint="cs"/>
          <w:color w:val="000000" w:themeColor="text1"/>
          <w:sz w:val="26"/>
          <w:szCs w:val="26"/>
          <w:rtl/>
          <w:lang w:bidi="ar-EG"/>
        </w:rPr>
        <w:t xml:space="preserve"> ما إذا كان الافصاح عن الدخل الشامل يوفر معلومات ملائمة للقيمة مقارنة </w:t>
      </w:r>
      <w:proofErr w:type="spellStart"/>
      <w:r w:rsidRPr="00E24FBE">
        <w:rPr>
          <w:rFonts w:hint="cs"/>
          <w:color w:val="000000" w:themeColor="text1"/>
          <w:sz w:val="26"/>
          <w:szCs w:val="26"/>
          <w:rtl/>
          <w:lang w:bidi="ar-EG"/>
        </w:rPr>
        <w:t>بصافى</w:t>
      </w:r>
      <w:proofErr w:type="spellEnd"/>
      <w:r w:rsidRPr="00E24FBE">
        <w:rPr>
          <w:rFonts w:hint="cs"/>
          <w:color w:val="000000" w:themeColor="text1"/>
          <w:sz w:val="26"/>
          <w:szCs w:val="26"/>
          <w:rtl/>
          <w:lang w:bidi="ar-EG"/>
        </w:rPr>
        <w:t xml:space="preserve"> الدخل بموجب المعايير الدولية لإعداد التقارير المالية، وذلك بالتطبيق على عينة مكونة من أكبر المنشآت في بورصة المملكة المتحدة وألمانيا وفرنسا وإيطاليا </w:t>
      </w:r>
      <w:proofErr w:type="spellStart"/>
      <w:r w:rsidRPr="00E24FBE">
        <w:rPr>
          <w:rFonts w:hint="cs"/>
          <w:color w:val="000000" w:themeColor="text1"/>
          <w:sz w:val="26"/>
          <w:szCs w:val="26"/>
          <w:rtl/>
          <w:lang w:bidi="ar-EG"/>
        </w:rPr>
        <w:t>وأسبانيا</w:t>
      </w:r>
      <w:proofErr w:type="spellEnd"/>
      <w:r w:rsidRPr="00E24FBE">
        <w:rPr>
          <w:rFonts w:hint="cs"/>
          <w:color w:val="000000" w:themeColor="text1"/>
          <w:sz w:val="26"/>
          <w:szCs w:val="26"/>
          <w:rtl/>
          <w:lang w:bidi="ar-EG"/>
        </w:rPr>
        <w:t xml:space="preserve"> خلال الفترة من 2005 إلى 2008. وتوصلت الدراسة إلى بنود الدخل الشامل الآخر ملائمة للقيمة خاصة بند تسويات ترجمة العملات الأجنبية لكن فقط للمنشآت من المملكة المتحدة.  </w:t>
      </w:r>
    </w:p>
    <w:p w14:paraId="5E9B6761" w14:textId="41D8527B" w:rsidR="00F701DB" w:rsidRPr="00C85ED3" w:rsidRDefault="00F701DB" w:rsidP="00C24E42">
      <w:pPr>
        <w:ind w:firstLine="720"/>
        <w:jc w:val="lowKashida"/>
        <w:rPr>
          <w:color w:val="000000" w:themeColor="text1"/>
          <w:spacing w:val="-4"/>
          <w:sz w:val="26"/>
          <w:szCs w:val="26"/>
          <w:rtl/>
          <w:lang w:bidi="ar-EG"/>
        </w:rPr>
      </w:pPr>
      <w:r w:rsidRPr="00C85ED3">
        <w:rPr>
          <w:rFonts w:hint="cs"/>
          <w:color w:val="000000" w:themeColor="text1"/>
          <w:spacing w:val="-4"/>
          <w:sz w:val="26"/>
          <w:szCs w:val="26"/>
          <w:rtl/>
          <w:lang w:bidi="ar-EG"/>
        </w:rPr>
        <w:t>كما قامت</w:t>
      </w:r>
      <w:r w:rsidR="00F96BDA" w:rsidRPr="00C85ED3">
        <w:rPr>
          <w:rFonts w:hint="cs"/>
          <w:color w:val="000000" w:themeColor="text1"/>
          <w:spacing w:val="-4"/>
          <w:sz w:val="26"/>
          <w:szCs w:val="26"/>
          <w:rtl/>
          <w:lang w:bidi="ar-EG"/>
        </w:rPr>
        <w:t xml:space="preserve"> دراسة</w:t>
      </w:r>
      <w:r w:rsidRPr="00C85ED3">
        <w:rPr>
          <w:rFonts w:hint="cs"/>
          <w:color w:val="000000" w:themeColor="text1"/>
          <w:spacing w:val="-4"/>
          <w:sz w:val="26"/>
          <w:szCs w:val="26"/>
          <w:rtl/>
          <w:lang w:bidi="ar-EG"/>
        </w:rPr>
        <w:t xml:space="preserve"> </w:t>
      </w:r>
      <w:r w:rsidRPr="00C85ED3">
        <w:rPr>
          <w:color w:val="000000" w:themeColor="text1"/>
          <w:spacing w:val="-4"/>
          <w:sz w:val="26"/>
          <w:szCs w:val="26"/>
          <w:lang w:bidi="ar-EG"/>
        </w:rPr>
        <w:t xml:space="preserve"> (</w:t>
      </w:r>
      <w:proofErr w:type="spellStart"/>
      <w:r w:rsidRPr="00C85ED3">
        <w:rPr>
          <w:color w:val="000000" w:themeColor="text1"/>
          <w:spacing w:val="-4"/>
          <w:sz w:val="26"/>
          <w:szCs w:val="26"/>
          <w:lang w:bidi="ar-EG"/>
        </w:rPr>
        <w:t>Acar</w:t>
      </w:r>
      <w:proofErr w:type="spellEnd"/>
      <w:r w:rsidRPr="00C85ED3">
        <w:rPr>
          <w:color w:val="000000" w:themeColor="text1"/>
          <w:spacing w:val="-4"/>
          <w:sz w:val="26"/>
          <w:szCs w:val="26"/>
          <w:lang w:bidi="ar-EG"/>
        </w:rPr>
        <w:t xml:space="preserve"> and </w:t>
      </w:r>
      <w:proofErr w:type="spellStart"/>
      <w:r w:rsidRPr="00C85ED3">
        <w:rPr>
          <w:color w:val="000000" w:themeColor="text1"/>
          <w:spacing w:val="-4"/>
          <w:sz w:val="26"/>
          <w:szCs w:val="26"/>
          <w:lang w:bidi="ar-EG"/>
        </w:rPr>
        <w:t>Karacare</w:t>
      </w:r>
      <w:proofErr w:type="spellEnd"/>
      <w:r w:rsidRPr="00C85ED3">
        <w:rPr>
          <w:color w:val="000000" w:themeColor="text1"/>
          <w:spacing w:val="-4"/>
          <w:sz w:val="26"/>
          <w:szCs w:val="26"/>
          <w:lang w:bidi="ar-EG"/>
        </w:rPr>
        <w:t xml:space="preserve">, 2017, p 114) </w:t>
      </w:r>
      <w:r w:rsidRPr="00C85ED3">
        <w:rPr>
          <w:rFonts w:hint="cs"/>
          <w:color w:val="000000" w:themeColor="text1"/>
          <w:spacing w:val="-4"/>
          <w:sz w:val="26"/>
          <w:szCs w:val="26"/>
          <w:rtl/>
          <w:lang w:bidi="ar-EG"/>
        </w:rPr>
        <w:t xml:space="preserve">بمقارنة فائدة الإفصاح عن كل من صافى الدخل والدخل الشامل وتأثيرهما على أسعار وعوائد الأسهم والتدفقات النقدية التشغيلية، وذلك بالتطبيق على عينة مكونة من 122 منشأة مدرجة في مؤشر </w:t>
      </w:r>
      <w:r w:rsidRPr="00C85ED3">
        <w:rPr>
          <w:color w:val="000000" w:themeColor="text1"/>
          <w:spacing w:val="-4"/>
          <w:sz w:val="26"/>
          <w:szCs w:val="26"/>
          <w:lang w:bidi="ar-EG"/>
        </w:rPr>
        <w:t>BIST</w:t>
      </w:r>
      <w:r w:rsidRPr="00C85ED3">
        <w:rPr>
          <w:rFonts w:hint="cs"/>
          <w:color w:val="000000" w:themeColor="text1"/>
          <w:spacing w:val="-4"/>
          <w:sz w:val="26"/>
          <w:szCs w:val="26"/>
          <w:rtl/>
          <w:lang w:bidi="ar-EG"/>
        </w:rPr>
        <w:t xml:space="preserve"> في بورصة </w:t>
      </w:r>
      <w:proofErr w:type="spellStart"/>
      <w:r w:rsidRPr="00C85ED3">
        <w:rPr>
          <w:rFonts w:hint="cs"/>
          <w:color w:val="000000" w:themeColor="text1"/>
          <w:spacing w:val="-4"/>
          <w:sz w:val="26"/>
          <w:szCs w:val="26"/>
          <w:rtl/>
          <w:lang w:bidi="ar-EG"/>
        </w:rPr>
        <w:t>أسطنبول</w:t>
      </w:r>
      <w:proofErr w:type="spellEnd"/>
      <w:r w:rsidRPr="00C85ED3">
        <w:rPr>
          <w:rFonts w:hint="cs"/>
          <w:color w:val="000000" w:themeColor="text1"/>
          <w:spacing w:val="-4"/>
          <w:sz w:val="26"/>
          <w:szCs w:val="26"/>
          <w:rtl/>
          <w:lang w:bidi="ar-EG"/>
        </w:rPr>
        <w:t xml:space="preserve">. وتوصلت الدراسة إلى أن المستثمرين يجدون أن معلومات الدخل الشامل أكثر تقلباً ومؤقتة وغير مكتملة مقارنة </w:t>
      </w:r>
      <w:proofErr w:type="spellStart"/>
      <w:r w:rsidRPr="00C85ED3">
        <w:rPr>
          <w:rFonts w:hint="cs"/>
          <w:color w:val="000000" w:themeColor="text1"/>
          <w:spacing w:val="-4"/>
          <w:sz w:val="26"/>
          <w:szCs w:val="26"/>
          <w:rtl/>
          <w:lang w:bidi="ar-EG"/>
        </w:rPr>
        <w:t>بصافى</w:t>
      </w:r>
      <w:proofErr w:type="spellEnd"/>
      <w:r w:rsidRPr="00C85ED3">
        <w:rPr>
          <w:rFonts w:hint="cs"/>
          <w:color w:val="000000" w:themeColor="text1"/>
          <w:spacing w:val="-4"/>
          <w:sz w:val="26"/>
          <w:szCs w:val="26"/>
          <w:rtl/>
          <w:lang w:bidi="ar-EG"/>
        </w:rPr>
        <w:t xml:space="preserve"> الدخل لذلك فإنهم يقيمون أداء المنشأة على أنه أكثر تقلباً، بينما عندما يتعلق الأمر بمكونات الدخل الشامل فأن المكون الوحيد الذى يحدث ضوضاء في القوائم المالية هو تسويات ترجمة العملات الأجنبية أي أن الارتباط بين سعر السهم وصافى الدخل المعدل للأرباح والخسائر من ترجمة القوائم المالية للعملات الأجنبية سلبى. </w:t>
      </w:r>
    </w:p>
    <w:p w14:paraId="2222027D" w14:textId="77777777" w:rsidR="00F701DB" w:rsidRPr="00E24FBE" w:rsidRDefault="00F701DB" w:rsidP="00C24E42">
      <w:pPr>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وفى ضوء ما سبق ترى الباحثة أن هناك علاقة طردية بين الإفصاح </w:t>
      </w:r>
      <w:proofErr w:type="spellStart"/>
      <w:r w:rsidRPr="00E24FBE">
        <w:rPr>
          <w:rFonts w:hint="cs"/>
          <w:color w:val="000000" w:themeColor="text1"/>
          <w:sz w:val="26"/>
          <w:szCs w:val="26"/>
          <w:rtl/>
          <w:lang w:bidi="ar-EG"/>
        </w:rPr>
        <w:t>المحاسبى</w:t>
      </w:r>
      <w:proofErr w:type="spellEnd"/>
      <w:r w:rsidRPr="00E24FBE">
        <w:rPr>
          <w:rFonts w:hint="cs"/>
          <w:color w:val="000000" w:themeColor="text1"/>
          <w:sz w:val="26"/>
          <w:szCs w:val="26"/>
          <w:rtl/>
          <w:lang w:bidi="ar-EG"/>
        </w:rPr>
        <w:t xml:space="preserve"> عن تسويات ترجمة القوائم المالية وأسعار الأسهم، حيث تزيد بالمكاسب الناتجة عن ترجمة القوائم المالية وتقل بالخسائر الناتجة عن ترجمة القوائم المالية.</w:t>
      </w:r>
    </w:p>
    <w:p w14:paraId="4988770B" w14:textId="44C5B237" w:rsidR="00F701DB" w:rsidRPr="001A65F9" w:rsidRDefault="00F701DB" w:rsidP="00D518DD">
      <w:pPr>
        <w:ind w:left="424" w:hanging="424"/>
        <w:jc w:val="lowKashida"/>
        <w:rPr>
          <w:b/>
          <w:bCs/>
          <w:color w:val="000000" w:themeColor="text1"/>
          <w:sz w:val="26"/>
          <w:szCs w:val="26"/>
          <w:rtl/>
          <w:lang w:bidi="ar-EG"/>
        </w:rPr>
      </w:pPr>
      <w:r w:rsidRPr="001A65F9">
        <w:rPr>
          <w:rStyle w:val="Heading1Char"/>
          <w:rFonts w:cs="Simplified Arabic" w:hint="cs"/>
          <w:b/>
          <w:bCs/>
          <w:color w:val="000000" w:themeColor="text1"/>
          <w:szCs w:val="26"/>
          <w:rtl/>
          <w:lang w:bidi="ar-EG"/>
        </w:rPr>
        <w:t xml:space="preserve">5/4 </w:t>
      </w:r>
      <w:r w:rsidRPr="001A65F9">
        <w:rPr>
          <w:rStyle w:val="Heading1Char"/>
          <w:rFonts w:cs="Simplified Arabic" w:hint="cs"/>
          <w:b/>
          <w:bCs/>
          <w:color w:val="000000" w:themeColor="text1"/>
          <w:szCs w:val="26"/>
          <w:rtl/>
        </w:rPr>
        <w:t xml:space="preserve">العلاقة بين الإفصاح </w:t>
      </w:r>
      <w:proofErr w:type="spellStart"/>
      <w:r w:rsidRPr="001A65F9">
        <w:rPr>
          <w:rStyle w:val="Heading1Char"/>
          <w:rFonts w:cs="Simplified Arabic" w:hint="cs"/>
          <w:b/>
          <w:bCs/>
          <w:color w:val="000000" w:themeColor="text1"/>
          <w:szCs w:val="26"/>
          <w:rtl/>
        </w:rPr>
        <w:t>المحاسبى</w:t>
      </w:r>
      <w:proofErr w:type="spellEnd"/>
      <w:r w:rsidRPr="001A65F9">
        <w:rPr>
          <w:rStyle w:val="Heading1Char"/>
          <w:rFonts w:cs="Simplified Arabic" w:hint="cs"/>
          <w:b/>
          <w:bCs/>
          <w:color w:val="000000" w:themeColor="text1"/>
          <w:szCs w:val="26"/>
          <w:rtl/>
        </w:rPr>
        <w:t xml:space="preserve"> عن المكاسب والخسائر </w:t>
      </w:r>
      <w:proofErr w:type="spellStart"/>
      <w:r w:rsidRPr="001A65F9">
        <w:rPr>
          <w:rStyle w:val="Heading1Char"/>
          <w:rFonts w:cs="Simplified Arabic" w:hint="cs"/>
          <w:b/>
          <w:bCs/>
          <w:color w:val="000000" w:themeColor="text1"/>
          <w:szCs w:val="26"/>
          <w:rtl/>
        </w:rPr>
        <w:t>الإكتوارية</w:t>
      </w:r>
      <w:proofErr w:type="spellEnd"/>
      <w:r w:rsidRPr="001A65F9">
        <w:rPr>
          <w:rStyle w:val="Heading1Char"/>
          <w:rFonts w:cs="Simplified Arabic" w:hint="cs"/>
          <w:b/>
          <w:bCs/>
          <w:color w:val="000000" w:themeColor="text1"/>
          <w:szCs w:val="26"/>
          <w:rtl/>
        </w:rPr>
        <w:t xml:space="preserve"> غير المحققة على خطط منافع الموظفين وسلوك أسعار الأسهم</w:t>
      </w:r>
      <w:r w:rsidRPr="001A65F9">
        <w:rPr>
          <w:rFonts w:hint="cs"/>
          <w:b/>
          <w:bCs/>
          <w:color w:val="000000" w:themeColor="text1"/>
          <w:sz w:val="26"/>
          <w:szCs w:val="26"/>
          <w:rtl/>
          <w:lang w:bidi="ar-EG"/>
        </w:rPr>
        <w:t>:</w:t>
      </w:r>
    </w:p>
    <w:p w14:paraId="12746EE9" w14:textId="0C1EAED8" w:rsidR="00F701DB" w:rsidRPr="00E24FBE" w:rsidRDefault="00F701DB" w:rsidP="00C24E42">
      <w:pPr>
        <w:ind w:firstLine="720"/>
        <w:jc w:val="lowKashida"/>
        <w:rPr>
          <w:color w:val="000000" w:themeColor="text1"/>
          <w:sz w:val="26"/>
          <w:szCs w:val="26"/>
          <w:rtl/>
          <w:lang w:bidi="ar-EG"/>
        </w:rPr>
      </w:pPr>
      <w:r w:rsidRPr="00E24FBE">
        <w:rPr>
          <w:rFonts w:hint="cs"/>
          <w:color w:val="000000" w:themeColor="text1"/>
          <w:sz w:val="26"/>
          <w:szCs w:val="26"/>
          <w:rtl/>
          <w:lang w:bidi="ar-EG"/>
        </w:rPr>
        <w:t xml:space="preserve"> اختبرت دراسة </w:t>
      </w:r>
      <w:r w:rsidRPr="00E24FBE">
        <w:rPr>
          <w:color w:val="000000" w:themeColor="text1"/>
          <w:sz w:val="26"/>
          <w:szCs w:val="26"/>
          <w:lang w:bidi="ar-EG"/>
        </w:rPr>
        <w:t xml:space="preserve"> (Durocher and Fortin, 2015, p 27) </w:t>
      </w:r>
      <w:r w:rsidRPr="00E24FBE">
        <w:rPr>
          <w:color w:val="000000" w:themeColor="text1"/>
          <w:sz w:val="26"/>
          <w:szCs w:val="26"/>
          <w:vertAlign w:val="superscript"/>
          <w:lang w:bidi="ar-EG"/>
        </w:rPr>
        <w:t xml:space="preserve">  </w:t>
      </w:r>
      <w:r w:rsidRPr="00E24FBE">
        <w:rPr>
          <w:rFonts w:hint="cs"/>
          <w:color w:val="000000" w:themeColor="text1"/>
          <w:sz w:val="26"/>
          <w:szCs w:val="26"/>
          <w:rtl/>
          <w:lang w:bidi="ar-EG"/>
        </w:rPr>
        <w:t xml:space="preserve"> ما إذا كان المستثمرين غير المحترفين يستخدمون معلومات الدخل الشامل أثناء تحليل القوائم المالية، خاصة بند المكاسب والخسائر </w:t>
      </w:r>
      <w:proofErr w:type="spellStart"/>
      <w:r w:rsidRPr="00E24FBE">
        <w:rPr>
          <w:rFonts w:hint="cs"/>
          <w:color w:val="000000" w:themeColor="text1"/>
          <w:sz w:val="26"/>
          <w:szCs w:val="26"/>
          <w:rtl/>
          <w:lang w:bidi="ar-EG"/>
        </w:rPr>
        <w:lastRenderedPageBreak/>
        <w:t>الإكتوارية</w:t>
      </w:r>
      <w:proofErr w:type="spellEnd"/>
      <w:r w:rsidRPr="00E24FBE">
        <w:rPr>
          <w:rFonts w:hint="cs"/>
          <w:color w:val="000000" w:themeColor="text1"/>
          <w:sz w:val="26"/>
          <w:szCs w:val="26"/>
          <w:rtl/>
          <w:lang w:bidi="ar-EG"/>
        </w:rPr>
        <w:t xml:space="preserve"> في خطط معاشات التقاعد ذات المزايا المحددة كبند من بنود الدخل الشامل الآخر وما إذا كانت طريقة عرض بنود الدخل الشامل الآخر في القوائم المالية تؤثر على أحكام وقرارات المستثمرين، وذلك بالتطبيق على عينة مكونة من 125 طالب ماجستير إدارة أعمال يمثلون المستثمرين غير المحترفين. وتوصلت الدراسة إلى أن المستثمرين غير المحترفين لا يهتمون بمعلومات الدخل الشامل ولا تتأثر قراراتهم بطريقة العرض، وأن البند الوحيد الذى يؤثر على قرارات المستثمرين هو بند المكاسب والخسائر </w:t>
      </w:r>
      <w:proofErr w:type="spellStart"/>
      <w:r w:rsidRPr="00E24FBE">
        <w:rPr>
          <w:rFonts w:hint="cs"/>
          <w:color w:val="000000" w:themeColor="text1"/>
          <w:sz w:val="26"/>
          <w:szCs w:val="26"/>
          <w:rtl/>
          <w:lang w:bidi="ar-EG"/>
        </w:rPr>
        <w:t>الإكتوارية</w:t>
      </w:r>
      <w:proofErr w:type="spellEnd"/>
      <w:r w:rsidRPr="00E24FBE">
        <w:rPr>
          <w:rFonts w:hint="cs"/>
          <w:color w:val="000000" w:themeColor="text1"/>
          <w:sz w:val="26"/>
          <w:szCs w:val="26"/>
          <w:rtl/>
          <w:lang w:bidi="ar-EG"/>
        </w:rPr>
        <w:t xml:space="preserve"> بل وأن الخسائر تجذب انتباهاً أكبر من المكاسب.</w:t>
      </w:r>
    </w:p>
    <w:p w14:paraId="17CFA997" w14:textId="6EE7BACE" w:rsidR="00F701DB" w:rsidRPr="00E24FBE" w:rsidRDefault="00F701DB" w:rsidP="00C24E42">
      <w:pPr>
        <w:ind w:firstLine="720"/>
        <w:jc w:val="lowKashida"/>
        <w:rPr>
          <w:color w:val="000000" w:themeColor="text1"/>
          <w:sz w:val="26"/>
          <w:szCs w:val="26"/>
          <w:rtl/>
          <w:lang w:bidi="ar-EG"/>
        </w:rPr>
      </w:pPr>
      <w:r w:rsidRPr="00E24FBE">
        <w:rPr>
          <w:rFonts w:hint="cs"/>
          <w:color w:val="000000" w:themeColor="text1"/>
          <w:sz w:val="26"/>
          <w:szCs w:val="26"/>
          <w:rtl/>
          <w:lang w:bidi="ar-EG"/>
        </w:rPr>
        <w:t>وتناولت</w:t>
      </w:r>
      <w:r w:rsidR="00F96BDA" w:rsidRPr="00E24FBE">
        <w:rPr>
          <w:rFonts w:hint="cs"/>
          <w:color w:val="000000" w:themeColor="text1"/>
          <w:sz w:val="26"/>
          <w:szCs w:val="26"/>
          <w:rtl/>
          <w:lang w:bidi="ar-EG"/>
        </w:rPr>
        <w:t xml:space="preserve"> دراسة</w:t>
      </w:r>
      <w:r w:rsidRPr="00E24FBE">
        <w:rPr>
          <w:rFonts w:hint="cs"/>
          <w:color w:val="000000" w:themeColor="text1"/>
          <w:sz w:val="26"/>
          <w:szCs w:val="26"/>
          <w:rtl/>
          <w:lang w:bidi="ar-EG"/>
        </w:rPr>
        <w:t xml:space="preserve"> </w:t>
      </w:r>
      <w:r w:rsidRPr="00E24FBE">
        <w:rPr>
          <w:color w:val="000000" w:themeColor="text1"/>
          <w:sz w:val="26"/>
          <w:szCs w:val="26"/>
          <w:lang w:bidi="ar-EG"/>
        </w:rPr>
        <w:t xml:space="preserve"> (Ramadhani and Martini, 2019, p </w:t>
      </w:r>
      <w:r w:rsidR="003347AD" w:rsidRPr="00E24FBE">
        <w:rPr>
          <w:color w:val="000000" w:themeColor="text1"/>
          <w:sz w:val="26"/>
          <w:szCs w:val="26"/>
          <w:lang w:bidi="ar-EG"/>
        </w:rPr>
        <w:t>414</w:t>
      </w:r>
      <w:r w:rsidRPr="00E24FBE">
        <w:rPr>
          <w:color w:val="000000" w:themeColor="text1"/>
          <w:sz w:val="26"/>
          <w:szCs w:val="26"/>
          <w:lang w:bidi="ar-EG"/>
        </w:rPr>
        <w:t>)</w:t>
      </w:r>
      <w:r w:rsidRPr="00E24FBE">
        <w:rPr>
          <w:rFonts w:hint="cs"/>
          <w:color w:val="000000" w:themeColor="text1"/>
          <w:sz w:val="26"/>
          <w:szCs w:val="26"/>
          <w:rtl/>
          <w:lang w:bidi="ar-EG"/>
        </w:rPr>
        <w:t>تحليل أثر التغيرات في قائمة التغيرات في حقوق الملكية المُعدة وفقاً لمعيار المحاسبة المالية في إندونيسيا (</w:t>
      </w:r>
      <w:r w:rsidRPr="00E24FBE">
        <w:rPr>
          <w:color w:val="000000" w:themeColor="text1"/>
          <w:sz w:val="26"/>
          <w:szCs w:val="26"/>
          <w:lang w:bidi="ar-EG"/>
        </w:rPr>
        <w:t>PASK 24</w:t>
      </w:r>
      <w:r w:rsidRPr="00E24FBE">
        <w:rPr>
          <w:rFonts w:hint="cs"/>
          <w:color w:val="000000" w:themeColor="text1"/>
          <w:sz w:val="26"/>
          <w:szCs w:val="26"/>
          <w:rtl/>
          <w:lang w:bidi="ar-EG"/>
        </w:rPr>
        <w:t xml:space="preserve">)، وبنود الدخل الشامل الآخر وعوائد الأسهم، وذلك بالتطبيق على عينة مكونة من المنشآت المدرجة في بورصة </w:t>
      </w:r>
      <w:proofErr w:type="spellStart"/>
      <w:r w:rsidRPr="00E24FBE">
        <w:rPr>
          <w:rFonts w:hint="cs"/>
          <w:color w:val="000000" w:themeColor="text1"/>
          <w:sz w:val="26"/>
          <w:szCs w:val="26"/>
          <w:rtl/>
          <w:lang w:bidi="ar-EG"/>
        </w:rPr>
        <w:t>إندونسيا</w:t>
      </w:r>
      <w:proofErr w:type="spellEnd"/>
      <w:r w:rsidRPr="00E24FBE">
        <w:rPr>
          <w:rFonts w:hint="cs"/>
          <w:color w:val="000000" w:themeColor="text1"/>
          <w:sz w:val="26"/>
          <w:szCs w:val="26"/>
          <w:rtl/>
          <w:lang w:bidi="ar-EG"/>
        </w:rPr>
        <w:t xml:space="preserve"> </w:t>
      </w:r>
      <w:r w:rsidRPr="00E24FBE">
        <w:rPr>
          <w:color w:val="000000" w:themeColor="text1"/>
          <w:sz w:val="26"/>
          <w:szCs w:val="26"/>
          <w:lang w:bidi="ar-EG"/>
        </w:rPr>
        <w:t>(IDX)</w:t>
      </w:r>
      <w:r w:rsidRPr="00E24FBE">
        <w:rPr>
          <w:rFonts w:hint="cs"/>
          <w:color w:val="000000" w:themeColor="text1"/>
          <w:sz w:val="26"/>
          <w:szCs w:val="26"/>
          <w:rtl/>
          <w:lang w:bidi="ar-EG"/>
        </w:rPr>
        <w:t xml:space="preserve"> خلال الفترة من 2013 إلى 2016. وتوصلت الدراسة إلى أن تطبيق </w:t>
      </w:r>
      <w:r w:rsidRPr="00E24FBE">
        <w:rPr>
          <w:color w:val="000000" w:themeColor="text1"/>
          <w:sz w:val="26"/>
          <w:szCs w:val="26"/>
          <w:lang w:bidi="ar-EG"/>
        </w:rPr>
        <w:t xml:space="preserve"> </w:t>
      </w:r>
      <w:r w:rsidRPr="00E24FBE">
        <w:rPr>
          <w:rFonts w:hint="cs"/>
          <w:color w:val="000000" w:themeColor="text1"/>
          <w:sz w:val="26"/>
          <w:szCs w:val="26"/>
          <w:rtl/>
          <w:lang w:bidi="ar-EG"/>
        </w:rPr>
        <w:t xml:space="preserve">معيار </w:t>
      </w:r>
      <w:r w:rsidRPr="00E24FBE">
        <w:rPr>
          <w:color w:val="000000" w:themeColor="text1"/>
          <w:sz w:val="26"/>
          <w:szCs w:val="26"/>
          <w:lang w:bidi="ar-EG"/>
        </w:rPr>
        <w:t>(PASK 24)</w:t>
      </w:r>
      <w:r w:rsidRPr="00E24FBE">
        <w:rPr>
          <w:rFonts w:hint="cs"/>
          <w:color w:val="000000" w:themeColor="text1"/>
          <w:sz w:val="26"/>
          <w:szCs w:val="26"/>
          <w:rtl/>
          <w:lang w:bidi="ar-EG"/>
        </w:rPr>
        <w:t xml:space="preserve"> أدى إلى عرض المكاسب والخسائر </w:t>
      </w:r>
      <w:proofErr w:type="spellStart"/>
      <w:r w:rsidRPr="00E24FBE">
        <w:rPr>
          <w:rFonts w:hint="cs"/>
          <w:color w:val="000000" w:themeColor="text1"/>
          <w:sz w:val="26"/>
          <w:szCs w:val="26"/>
          <w:rtl/>
          <w:lang w:bidi="ar-EG"/>
        </w:rPr>
        <w:t>الإكتوارية</w:t>
      </w:r>
      <w:proofErr w:type="spellEnd"/>
      <w:r w:rsidRPr="00E24FBE">
        <w:rPr>
          <w:rFonts w:hint="cs"/>
          <w:color w:val="000000" w:themeColor="text1"/>
          <w:sz w:val="26"/>
          <w:szCs w:val="26"/>
          <w:rtl/>
          <w:lang w:bidi="ar-EG"/>
        </w:rPr>
        <w:t xml:space="preserve"> في قائمة الدخل الشامل لمنشآت العينة، حيث يتضح أنه في عامي (2015، 2016) قامت أكثر من 95% من المنشآت بعرض المكاسب والخسائر </w:t>
      </w:r>
      <w:proofErr w:type="spellStart"/>
      <w:r w:rsidRPr="00E24FBE">
        <w:rPr>
          <w:rFonts w:hint="cs"/>
          <w:color w:val="000000" w:themeColor="text1"/>
          <w:sz w:val="26"/>
          <w:szCs w:val="26"/>
          <w:rtl/>
          <w:lang w:bidi="ar-EG"/>
        </w:rPr>
        <w:t>الإكتوارية</w:t>
      </w:r>
      <w:proofErr w:type="spellEnd"/>
      <w:r w:rsidRPr="00E24FBE">
        <w:rPr>
          <w:rFonts w:hint="cs"/>
          <w:color w:val="000000" w:themeColor="text1"/>
          <w:sz w:val="26"/>
          <w:szCs w:val="26"/>
          <w:rtl/>
          <w:lang w:bidi="ar-EG"/>
        </w:rPr>
        <w:t xml:space="preserve"> ضمن بنود الدخل الشامل الآخر وأن متوسط  نسبة المكاسب والخسائر </w:t>
      </w:r>
      <w:proofErr w:type="spellStart"/>
      <w:r w:rsidRPr="00E24FBE">
        <w:rPr>
          <w:rFonts w:hint="cs"/>
          <w:color w:val="000000" w:themeColor="text1"/>
          <w:sz w:val="26"/>
          <w:szCs w:val="26"/>
          <w:rtl/>
          <w:lang w:bidi="ar-EG"/>
        </w:rPr>
        <w:t>الإكتوارية</w:t>
      </w:r>
      <w:proofErr w:type="spellEnd"/>
      <w:r w:rsidRPr="00E24FBE">
        <w:rPr>
          <w:rFonts w:hint="cs"/>
          <w:color w:val="000000" w:themeColor="text1"/>
          <w:sz w:val="26"/>
          <w:szCs w:val="26"/>
          <w:rtl/>
          <w:lang w:bidi="ar-EG"/>
        </w:rPr>
        <w:t xml:space="preserve"> تمثل 50% من إجمالي الدخل الشامل الآخر، وتوصلت أيضاً إلى أن المكاسب والخسائر </w:t>
      </w:r>
      <w:proofErr w:type="spellStart"/>
      <w:r w:rsidRPr="00E24FBE">
        <w:rPr>
          <w:rFonts w:hint="cs"/>
          <w:color w:val="000000" w:themeColor="text1"/>
          <w:sz w:val="26"/>
          <w:szCs w:val="26"/>
          <w:rtl/>
          <w:lang w:bidi="ar-EG"/>
        </w:rPr>
        <w:t>الإكتوارية</w:t>
      </w:r>
      <w:proofErr w:type="spellEnd"/>
      <w:r w:rsidRPr="00E24FBE">
        <w:rPr>
          <w:rFonts w:hint="cs"/>
          <w:color w:val="000000" w:themeColor="text1"/>
          <w:sz w:val="26"/>
          <w:szCs w:val="26"/>
          <w:rtl/>
          <w:lang w:bidi="ar-EG"/>
        </w:rPr>
        <w:t xml:space="preserve"> ترتبط بشكل كبير بعوائد الأسهم.</w:t>
      </w:r>
    </w:p>
    <w:p w14:paraId="14A9C5E2" w14:textId="77777777" w:rsidR="00F701DB" w:rsidRPr="00E24FBE" w:rsidRDefault="00F701DB" w:rsidP="00C24E42">
      <w:pPr>
        <w:ind w:firstLine="720"/>
        <w:jc w:val="lowKashida"/>
        <w:rPr>
          <w:color w:val="000000" w:themeColor="text1"/>
          <w:sz w:val="26"/>
          <w:szCs w:val="26"/>
          <w:lang w:bidi="ar-EG"/>
        </w:rPr>
      </w:pPr>
      <w:r w:rsidRPr="00E24FBE">
        <w:rPr>
          <w:rFonts w:hint="cs"/>
          <w:color w:val="000000" w:themeColor="text1"/>
          <w:sz w:val="26"/>
          <w:szCs w:val="26"/>
          <w:rtl/>
          <w:lang w:bidi="ar-EG"/>
        </w:rPr>
        <w:t>وفى ضوء ما سبق ترى الباحثة أن هناك</w:t>
      </w:r>
      <w:r w:rsidRPr="00E24FBE">
        <w:rPr>
          <w:color w:val="000000" w:themeColor="text1"/>
          <w:sz w:val="26"/>
          <w:szCs w:val="26"/>
          <w:lang w:bidi="ar-EG"/>
        </w:rPr>
        <w:t xml:space="preserve"> </w:t>
      </w:r>
      <w:r w:rsidRPr="00E24FBE">
        <w:rPr>
          <w:rFonts w:hint="cs"/>
          <w:color w:val="000000" w:themeColor="text1"/>
          <w:sz w:val="26"/>
          <w:szCs w:val="26"/>
          <w:rtl/>
          <w:lang w:bidi="ar-EG"/>
        </w:rPr>
        <w:t xml:space="preserve">علاقة طردية بين الإفصاح </w:t>
      </w:r>
      <w:proofErr w:type="spellStart"/>
      <w:r w:rsidRPr="00E24FBE">
        <w:rPr>
          <w:rFonts w:hint="cs"/>
          <w:color w:val="000000" w:themeColor="text1"/>
          <w:sz w:val="26"/>
          <w:szCs w:val="26"/>
          <w:rtl/>
          <w:lang w:bidi="ar-EG"/>
        </w:rPr>
        <w:t>المحاسبى</w:t>
      </w:r>
      <w:proofErr w:type="spellEnd"/>
      <w:r w:rsidRPr="00E24FBE">
        <w:rPr>
          <w:rFonts w:hint="cs"/>
          <w:color w:val="000000" w:themeColor="text1"/>
          <w:sz w:val="26"/>
          <w:szCs w:val="26"/>
          <w:rtl/>
          <w:lang w:bidi="ar-EG"/>
        </w:rPr>
        <w:t xml:space="preserve"> عن المكاسب والخسائر </w:t>
      </w:r>
      <w:proofErr w:type="spellStart"/>
      <w:r w:rsidRPr="00E24FBE">
        <w:rPr>
          <w:rFonts w:hint="cs"/>
          <w:color w:val="000000" w:themeColor="text1"/>
          <w:sz w:val="26"/>
          <w:szCs w:val="26"/>
          <w:rtl/>
          <w:lang w:bidi="ar-EG"/>
        </w:rPr>
        <w:t>الإكتوارية</w:t>
      </w:r>
      <w:proofErr w:type="spellEnd"/>
      <w:r w:rsidRPr="00E24FBE">
        <w:rPr>
          <w:rFonts w:hint="cs"/>
          <w:color w:val="000000" w:themeColor="text1"/>
          <w:sz w:val="26"/>
          <w:szCs w:val="26"/>
          <w:rtl/>
          <w:lang w:bidi="ar-EG"/>
        </w:rPr>
        <w:t xml:space="preserve"> غير المحققة وأسعار الأسهم، حيث يزيد سعر السهم بالمكاسب </w:t>
      </w:r>
      <w:proofErr w:type="spellStart"/>
      <w:r w:rsidRPr="00E24FBE">
        <w:rPr>
          <w:rFonts w:hint="cs"/>
          <w:color w:val="000000" w:themeColor="text1"/>
          <w:sz w:val="26"/>
          <w:szCs w:val="26"/>
          <w:rtl/>
          <w:lang w:bidi="ar-EG"/>
        </w:rPr>
        <w:t>الإكتوارية</w:t>
      </w:r>
      <w:proofErr w:type="spellEnd"/>
      <w:r w:rsidRPr="00E24FBE">
        <w:rPr>
          <w:rFonts w:hint="cs"/>
          <w:color w:val="000000" w:themeColor="text1"/>
          <w:sz w:val="26"/>
          <w:szCs w:val="26"/>
          <w:rtl/>
          <w:lang w:bidi="ar-EG"/>
        </w:rPr>
        <w:t xml:space="preserve"> غير المحققة ويقل بالخسائر </w:t>
      </w:r>
      <w:proofErr w:type="spellStart"/>
      <w:r w:rsidRPr="00E24FBE">
        <w:rPr>
          <w:rFonts w:hint="cs"/>
          <w:color w:val="000000" w:themeColor="text1"/>
          <w:sz w:val="26"/>
          <w:szCs w:val="26"/>
          <w:rtl/>
          <w:lang w:bidi="ar-EG"/>
        </w:rPr>
        <w:t>الإكتوارية</w:t>
      </w:r>
      <w:proofErr w:type="spellEnd"/>
      <w:r w:rsidRPr="00E24FBE">
        <w:rPr>
          <w:rFonts w:hint="cs"/>
          <w:color w:val="000000" w:themeColor="text1"/>
          <w:sz w:val="26"/>
          <w:szCs w:val="26"/>
          <w:rtl/>
          <w:lang w:bidi="ar-EG"/>
        </w:rPr>
        <w:t xml:space="preserve"> غير المحققة.</w:t>
      </w:r>
    </w:p>
    <w:p w14:paraId="2ADD79E4" w14:textId="49712AD2" w:rsidR="003347AD" w:rsidRPr="00E24FBE" w:rsidRDefault="003347AD" w:rsidP="00C24E42">
      <w:pPr>
        <w:ind w:left="658" w:hanging="658"/>
        <w:jc w:val="lowKashida"/>
        <w:rPr>
          <w:color w:val="000000" w:themeColor="text1"/>
          <w:sz w:val="26"/>
          <w:szCs w:val="26"/>
          <w:rtl/>
          <w:lang w:bidi="ar-EG"/>
        </w:rPr>
      </w:pPr>
      <w:r w:rsidRPr="00DD0DBF">
        <w:rPr>
          <w:rFonts w:hint="cs"/>
          <w:b/>
          <w:bCs/>
          <w:color w:val="000000" w:themeColor="text1"/>
          <w:sz w:val="26"/>
          <w:szCs w:val="26"/>
          <w:rtl/>
          <w:lang w:bidi="ar-EG"/>
        </w:rPr>
        <w:t xml:space="preserve">  5/5 </w:t>
      </w:r>
      <w:r w:rsidRPr="00DD0DBF">
        <w:rPr>
          <w:rStyle w:val="Heading1Char"/>
          <w:rFonts w:cs="Simplified Arabic" w:hint="cs"/>
          <w:b/>
          <w:bCs/>
          <w:color w:val="000000" w:themeColor="text1"/>
          <w:szCs w:val="26"/>
          <w:rtl/>
        </w:rPr>
        <w:t xml:space="preserve">العلاقة بين الإفصاح </w:t>
      </w:r>
      <w:proofErr w:type="spellStart"/>
      <w:r w:rsidRPr="00DD0DBF">
        <w:rPr>
          <w:rStyle w:val="Heading1Char"/>
          <w:rFonts w:cs="Simplified Arabic" w:hint="cs"/>
          <w:b/>
          <w:bCs/>
          <w:color w:val="000000" w:themeColor="text1"/>
          <w:szCs w:val="26"/>
          <w:rtl/>
        </w:rPr>
        <w:t>المحاسبى</w:t>
      </w:r>
      <w:proofErr w:type="spellEnd"/>
      <w:r w:rsidRPr="00DD0DBF">
        <w:rPr>
          <w:rStyle w:val="Heading1Char"/>
          <w:rFonts w:cs="Simplified Arabic" w:hint="cs"/>
          <w:b/>
          <w:bCs/>
          <w:color w:val="000000" w:themeColor="text1"/>
          <w:szCs w:val="26"/>
          <w:rtl/>
        </w:rPr>
        <w:t xml:space="preserve"> عن فائض إعادة تقييم الأصول الثابتة والأصول غير الملموسة وسلوك أسعار الأسهم</w:t>
      </w:r>
      <w:r w:rsidRPr="00E24FBE">
        <w:rPr>
          <w:rFonts w:hint="cs"/>
          <w:color w:val="000000" w:themeColor="text1"/>
          <w:sz w:val="26"/>
          <w:szCs w:val="26"/>
          <w:rtl/>
          <w:lang w:bidi="ar-EG"/>
        </w:rPr>
        <w:t>:</w:t>
      </w:r>
    </w:p>
    <w:p w14:paraId="09A37882" w14:textId="146CB122" w:rsidR="003347AD" w:rsidRPr="00E24FBE" w:rsidRDefault="003347AD" w:rsidP="00C24E42">
      <w:pPr>
        <w:ind w:firstLine="720"/>
        <w:jc w:val="lowKashida"/>
        <w:rPr>
          <w:color w:val="000000" w:themeColor="text1"/>
          <w:sz w:val="26"/>
          <w:szCs w:val="26"/>
          <w:lang w:bidi="ar-EG"/>
        </w:rPr>
      </w:pPr>
      <w:r w:rsidRPr="00E24FBE">
        <w:rPr>
          <w:rFonts w:hint="cs"/>
          <w:color w:val="000000" w:themeColor="text1"/>
          <w:sz w:val="26"/>
          <w:szCs w:val="26"/>
          <w:rtl/>
          <w:lang w:bidi="ar-EG"/>
        </w:rPr>
        <w:t xml:space="preserve"> قامت دراسة</w:t>
      </w:r>
      <w:r w:rsidRPr="00E24FBE">
        <w:rPr>
          <w:color w:val="000000" w:themeColor="text1"/>
          <w:sz w:val="26"/>
          <w:szCs w:val="26"/>
          <w:lang w:bidi="ar-EG"/>
        </w:rPr>
        <w:t>Kadri, et al., 2021, p 1)</w:t>
      </w:r>
      <w:r w:rsidRPr="00E24FBE">
        <w:rPr>
          <w:rFonts w:hint="cs"/>
          <w:color w:val="000000" w:themeColor="text1"/>
          <w:sz w:val="26"/>
          <w:szCs w:val="26"/>
          <w:rtl/>
          <w:lang w:bidi="ar-EG"/>
        </w:rPr>
        <w:t xml:space="preserve"> </w:t>
      </w:r>
      <w:r w:rsidRPr="00E24FBE">
        <w:rPr>
          <w:color w:val="000000" w:themeColor="text1"/>
          <w:sz w:val="26"/>
          <w:szCs w:val="26"/>
          <w:lang w:bidi="ar-EG"/>
        </w:rPr>
        <w:t>(</w:t>
      </w:r>
      <w:r w:rsidRPr="00E24FBE">
        <w:rPr>
          <w:rFonts w:hint="cs"/>
          <w:color w:val="000000" w:themeColor="text1"/>
          <w:sz w:val="26"/>
          <w:szCs w:val="26"/>
          <w:rtl/>
          <w:lang w:bidi="ar-EG"/>
        </w:rPr>
        <w:t xml:space="preserve">باختبار ملاءمة القيمة للممتلكات والآلات والمعدات وفائض إعادة تقييم الأصول، وذلك بالتطبيق على عينة مكونة من 100 منشاة في كل من ماليزيا </w:t>
      </w:r>
      <w:proofErr w:type="spellStart"/>
      <w:r w:rsidRPr="00E24FBE">
        <w:rPr>
          <w:rFonts w:hint="cs"/>
          <w:color w:val="000000" w:themeColor="text1"/>
          <w:sz w:val="26"/>
          <w:szCs w:val="26"/>
          <w:rtl/>
          <w:lang w:bidi="ar-EG"/>
        </w:rPr>
        <w:t>وأندونيسيا</w:t>
      </w:r>
      <w:proofErr w:type="spellEnd"/>
      <w:r w:rsidRPr="00E24FBE">
        <w:rPr>
          <w:rFonts w:hint="cs"/>
          <w:color w:val="000000" w:themeColor="text1"/>
          <w:sz w:val="26"/>
          <w:szCs w:val="26"/>
          <w:rtl/>
          <w:lang w:bidi="ar-EG"/>
        </w:rPr>
        <w:t xml:space="preserve"> خلال الفترة من 2018 إلى 2019. وتوصلت الدراسة إلى أن فائض إعادة تقييم الأصول ذات صلة في تفسير القيمة السوقية للأسهم في ماليزيا </w:t>
      </w:r>
      <w:proofErr w:type="spellStart"/>
      <w:r w:rsidRPr="00E24FBE">
        <w:rPr>
          <w:rFonts w:hint="cs"/>
          <w:color w:val="000000" w:themeColor="text1"/>
          <w:sz w:val="26"/>
          <w:szCs w:val="26"/>
          <w:rtl/>
          <w:lang w:bidi="ar-EG"/>
        </w:rPr>
        <w:t>وأندونيسيا</w:t>
      </w:r>
      <w:proofErr w:type="spellEnd"/>
      <w:r w:rsidRPr="00E24FBE">
        <w:rPr>
          <w:rFonts w:hint="cs"/>
          <w:color w:val="000000" w:themeColor="text1"/>
          <w:sz w:val="26"/>
          <w:szCs w:val="26"/>
          <w:rtl/>
          <w:lang w:bidi="ar-EG"/>
        </w:rPr>
        <w:t>.</w:t>
      </w:r>
    </w:p>
    <w:p w14:paraId="5F52BE75" w14:textId="7B9D9C60" w:rsidR="003347AD" w:rsidRPr="00E24FBE" w:rsidRDefault="003347AD" w:rsidP="002C31E5">
      <w:pPr>
        <w:spacing w:line="228" w:lineRule="auto"/>
        <w:ind w:firstLine="720"/>
        <w:jc w:val="lowKashida"/>
        <w:rPr>
          <w:color w:val="000000" w:themeColor="text1"/>
          <w:sz w:val="26"/>
          <w:szCs w:val="26"/>
          <w:rtl/>
          <w:lang w:bidi="ar-EG"/>
        </w:rPr>
      </w:pPr>
      <w:r w:rsidRPr="00E24FBE">
        <w:rPr>
          <w:rFonts w:hint="cs"/>
          <w:color w:val="000000" w:themeColor="text1"/>
          <w:sz w:val="26"/>
          <w:szCs w:val="26"/>
          <w:rtl/>
          <w:lang w:bidi="ar-EG"/>
        </w:rPr>
        <w:t xml:space="preserve">كما هدفت دراسة </w:t>
      </w:r>
      <w:r w:rsidRPr="00E24FBE">
        <w:rPr>
          <w:color w:val="000000" w:themeColor="text1"/>
          <w:sz w:val="26"/>
          <w:szCs w:val="26"/>
          <w:lang w:bidi="ar-EG"/>
        </w:rPr>
        <w:t>Mihaela, et al.,  2022, p 293)</w:t>
      </w:r>
      <w:r w:rsidRPr="00E24FBE">
        <w:rPr>
          <w:rFonts w:hint="cs"/>
          <w:color w:val="000000" w:themeColor="text1"/>
          <w:sz w:val="26"/>
          <w:szCs w:val="26"/>
          <w:rtl/>
          <w:lang w:bidi="ar-EG"/>
        </w:rPr>
        <w:t xml:space="preserve"> </w:t>
      </w:r>
      <w:r w:rsidRPr="00E24FBE">
        <w:rPr>
          <w:color w:val="000000" w:themeColor="text1"/>
          <w:sz w:val="26"/>
          <w:szCs w:val="26"/>
          <w:lang w:bidi="ar-EG"/>
        </w:rPr>
        <w:t>(</w:t>
      </w:r>
      <w:r w:rsidRPr="00E24FBE">
        <w:rPr>
          <w:rFonts w:hint="cs"/>
          <w:color w:val="000000" w:themeColor="text1"/>
          <w:sz w:val="26"/>
          <w:szCs w:val="26"/>
          <w:rtl/>
          <w:lang w:bidi="ar-EG"/>
        </w:rPr>
        <w:t xml:space="preserve">إلى دراسة العلاقة بين الإفصاح عن بنود الدخل الشامل الآخر وأسعار الأسهم، حيث قامت بتحليل القوائم المالية المفصح عنها للفترة من 2017  إلى 2021 للشركات المدرجة في البورصات الأوروبية (فرنسا وألمانيا وإيطاليا </w:t>
      </w:r>
      <w:proofErr w:type="spellStart"/>
      <w:r w:rsidRPr="00E24FBE">
        <w:rPr>
          <w:rFonts w:hint="cs"/>
          <w:color w:val="000000" w:themeColor="text1"/>
          <w:sz w:val="26"/>
          <w:szCs w:val="26"/>
          <w:rtl/>
          <w:lang w:bidi="ar-EG"/>
        </w:rPr>
        <w:t>وأسبانيا</w:t>
      </w:r>
      <w:proofErr w:type="spellEnd"/>
      <w:r w:rsidRPr="00E24FBE">
        <w:rPr>
          <w:rFonts w:hint="cs"/>
          <w:color w:val="000000" w:themeColor="text1"/>
          <w:sz w:val="26"/>
          <w:szCs w:val="26"/>
          <w:rtl/>
          <w:lang w:bidi="ar-EG"/>
        </w:rPr>
        <w:t xml:space="preserve">). وتوصلت الدراسة إلى وجود ارتباط ذات دلالة إحصائية بين الإفصاح عن بنود الدخل الشامل الأخر وأسعار الأسهم خاصة بند التغيرات في فائض إعادة التقييم. </w:t>
      </w:r>
    </w:p>
    <w:p w14:paraId="0461874B" w14:textId="77777777" w:rsidR="003347AD" w:rsidRPr="00C85ED3" w:rsidRDefault="003347AD" w:rsidP="002C31E5">
      <w:pPr>
        <w:spacing w:line="228" w:lineRule="auto"/>
        <w:ind w:firstLine="720"/>
        <w:jc w:val="lowKashida"/>
        <w:rPr>
          <w:color w:val="000000" w:themeColor="text1"/>
          <w:spacing w:val="-4"/>
          <w:sz w:val="26"/>
          <w:szCs w:val="26"/>
          <w:rtl/>
          <w:lang w:bidi="ar-EG"/>
        </w:rPr>
      </w:pPr>
      <w:r w:rsidRPr="00C85ED3">
        <w:rPr>
          <w:rFonts w:hint="cs"/>
          <w:color w:val="000000" w:themeColor="text1"/>
          <w:spacing w:val="-4"/>
          <w:sz w:val="26"/>
          <w:szCs w:val="26"/>
          <w:rtl/>
          <w:lang w:bidi="ar-EG"/>
        </w:rPr>
        <w:t xml:space="preserve">وفي ضوء ما سبق ترى الباحثة وجود علاقة طردية بين الإفصاح </w:t>
      </w:r>
      <w:proofErr w:type="spellStart"/>
      <w:r w:rsidRPr="00C85ED3">
        <w:rPr>
          <w:rFonts w:hint="cs"/>
          <w:color w:val="000000" w:themeColor="text1"/>
          <w:spacing w:val="-4"/>
          <w:sz w:val="26"/>
          <w:szCs w:val="26"/>
          <w:rtl/>
          <w:lang w:bidi="ar-EG"/>
        </w:rPr>
        <w:t>المحاسبى</w:t>
      </w:r>
      <w:proofErr w:type="spellEnd"/>
      <w:r w:rsidRPr="00C85ED3">
        <w:rPr>
          <w:rFonts w:hint="cs"/>
          <w:color w:val="000000" w:themeColor="text1"/>
          <w:spacing w:val="-4"/>
          <w:sz w:val="26"/>
          <w:szCs w:val="26"/>
          <w:rtl/>
          <w:lang w:bidi="ar-EG"/>
        </w:rPr>
        <w:t xml:space="preserve"> عن فائض إعادة تقييم الأصول الثابتة والأصول غير الملموسة وأسعار الأسهم، حيث يزيد سعر السهم بتقييم الأصول بالزيادة.</w:t>
      </w:r>
    </w:p>
    <w:p w14:paraId="563023F0" w14:textId="179B33B0" w:rsidR="00C65B31" w:rsidRPr="001A65F9" w:rsidRDefault="00DD0DBF" w:rsidP="002C31E5">
      <w:pPr>
        <w:spacing w:line="228" w:lineRule="auto"/>
        <w:jc w:val="lowKashida"/>
        <w:rPr>
          <w:b/>
          <w:bCs/>
          <w:color w:val="000000" w:themeColor="text1"/>
          <w:rtl/>
          <w:lang w:bidi="ar-EG"/>
        </w:rPr>
      </w:pPr>
      <w:r>
        <w:rPr>
          <w:rFonts w:hint="cs"/>
          <w:b/>
          <w:bCs/>
          <w:color w:val="000000" w:themeColor="text1"/>
          <w:rtl/>
          <w:lang w:bidi="ar-EG"/>
        </w:rPr>
        <w:lastRenderedPageBreak/>
        <w:t>6</w:t>
      </w:r>
      <w:r w:rsidR="00C65B31" w:rsidRPr="001A65F9">
        <w:rPr>
          <w:rFonts w:hint="cs"/>
          <w:b/>
          <w:bCs/>
          <w:color w:val="000000" w:themeColor="text1"/>
          <w:rtl/>
          <w:lang w:bidi="ar-EG"/>
        </w:rPr>
        <w:t xml:space="preserve">-الدراسة </w:t>
      </w:r>
      <w:r w:rsidR="003652F9" w:rsidRPr="001A65F9">
        <w:rPr>
          <w:rFonts w:hint="cs"/>
          <w:b/>
          <w:bCs/>
          <w:color w:val="000000" w:themeColor="text1"/>
          <w:rtl/>
          <w:lang w:bidi="ar-EG"/>
        </w:rPr>
        <w:t>الاختبارية</w:t>
      </w:r>
      <w:r w:rsidR="00C65B31" w:rsidRPr="001A65F9">
        <w:rPr>
          <w:rFonts w:hint="cs"/>
          <w:b/>
          <w:bCs/>
          <w:color w:val="000000" w:themeColor="text1"/>
          <w:rtl/>
          <w:lang w:bidi="ar-EG"/>
        </w:rPr>
        <w:t xml:space="preserve">: </w:t>
      </w:r>
    </w:p>
    <w:p w14:paraId="0FDFA1BB" w14:textId="479AF8B4" w:rsidR="00C65B31" w:rsidRPr="00C85ED3" w:rsidRDefault="00C65B31" w:rsidP="002C31E5">
      <w:pPr>
        <w:spacing w:line="228" w:lineRule="auto"/>
        <w:jc w:val="lowKashida"/>
        <w:rPr>
          <w:b/>
          <w:bCs/>
          <w:color w:val="000000" w:themeColor="text1"/>
          <w:rtl/>
          <w:lang w:bidi="ar-EG"/>
        </w:rPr>
      </w:pPr>
      <w:r w:rsidRPr="00C85ED3">
        <w:rPr>
          <w:rFonts w:hint="cs"/>
          <w:b/>
          <w:bCs/>
          <w:color w:val="000000" w:themeColor="text1"/>
          <w:rtl/>
          <w:lang w:bidi="ar-EG"/>
        </w:rPr>
        <w:t>هدف الدراسة:</w:t>
      </w:r>
    </w:p>
    <w:p w14:paraId="114C39DC" w14:textId="7FAB8FDC" w:rsidR="00C65B31" w:rsidRPr="00E24FBE" w:rsidRDefault="00C65B31" w:rsidP="002C31E5">
      <w:pPr>
        <w:spacing w:line="228" w:lineRule="auto"/>
        <w:ind w:firstLine="720"/>
        <w:jc w:val="lowKashida"/>
        <w:rPr>
          <w:b/>
          <w:bCs/>
          <w:color w:val="000000" w:themeColor="text1"/>
          <w:sz w:val="26"/>
          <w:szCs w:val="26"/>
          <w:rtl/>
        </w:rPr>
      </w:pPr>
      <w:r w:rsidRPr="00E24FBE">
        <w:rPr>
          <w:rFonts w:hint="cs"/>
          <w:color w:val="000000" w:themeColor="text1"/>
          <w:sz w:val="26"/>
          <w:szCs w:val="26"/>
          <w:rtl/>
        </w:rPr>
        <w:t xml:space="preserve">تهدف الباحثة من خلال الدراسة </w:t>
      </w:r>
      <w:r w:rsidR="003652F9" w:rsidRPr="00E24FBE">
        <w:rPr>
          <w:rFonts w:hint="cs"/>
          <w:color w:val="000000" w:themeColor="text1"/>
          <w:sz w:val="26"/>
          <w:szCs w:val="26"/>
          <w:rtl/>
        </w:rPr>
        <w:t>الاختبارية</w:t>
      </w:r>
      <w:r w:rsidRPr="00E24FBE">
        <w:rPr>
          <w:color w:val="000000" w:themeColor="text1"/>
          <w:sz w:val="26"/>
          <w:szCs w:val="26"/>
          <w:rtl/>
        </w:rPr>
        <w:t xml:space="preserve"> </w:t>
      </w:r>
      <w:r w:rsidRPr="00E24FBE">
        <w:rPr>
          <w:rFonts w:hint="cs"/>
          <w:color w:val="000000" w:themeColor="text1"/>
          <w:sz w:val="26"/>
          <w:szCs w:val="26"/>
          <w:rtl/>
        </w:rPr>
        <w:t xml:space="preserve">إلى التعرف على آراء عينة الدراسة وذلك حول </w:t>
      </w:r>
      <w:r w:rsidRPr="00E24FBE">
        <w:rPr>
          <w:color w:val="000000" w:themeColor="text1"/>
          <w:sz w:val="26"/>
          <w:szCs w:val="26"/>
          <w:rtl/>
          <w:lang w:bidi="ar-EG"/>
        </w:rPr>
        <w:t xml:space="preserve">تأثير </w:t>
      </w:r>
      <w:r w:rsidR="003652F9" w:rsidRPr="00E24FBE">
        <w:rPr>
          <w:rFonts w:hint="cs"/>
          <w:color w:val="000000" w:themeColor="text1"/>
          <w:sz w:val="26"/>
          <w:szCs w:val="26"/>
          <w:rtl/>
          <w:lang w:bidi="ar-EG"/>
        </w:rPr>
        <w:t xml:space="preserve">الإفصاح </w:t>
      </w:r>
      <w:proofErr w:type="spellStart"/>
      <w:r w:rsidR="003652F9" w:rsidRPr="00E24FBE">
        <w:rPr>
          <w:rFonts w:hint="cs"/>
          <w:color w:val="000000" w:themeColor="text1"/>
          <w:sz w:val="26"/>
          <w:szCs w:val="26"/>
          <w:rtl/>
          <w:lang w:bidi="ar-EG"/>
        </w:rPr>
        <w:t>المحاسبى</w:t>
      </w:r>
      <w:proofErr w:type="spellEnd"/>
      <w:r w:rsidR="003652F9" w:rsidRPr="00E24FBE">
        <w:rPr>
          <w:rFonts w:hint="cs"/>
          <w:color w:val="000000" w:themeColor="text1"/>
          <w:sz w:val="26"/>
          <w:szCs w:val="26"/>
          <w:rtl/>
          <w:lang w:bidi="ar-EG"/>
        </w:rPr>
        <w:t xml:space="preserve"> عن بنود الدخل الشامل على سلوك أسعار الأسهم </w:t>
      </w:r>
      <w:r w:rsidRPr="00E24FBE">
        <w:rPr>
          <w:rFonts w:hint="cs"/>
          <w:color w:val="000000" w:themeColor="text1"/>
          <w:sz w:val="26"/>
          <w:szCs w:val="26"/>
          <w:rtl/>
        </w:rPr>
        <w:t xml:space="preserve"> </w:t>
      </w:r>
      <w:r w:rsidRPr="00E24FBE">
        <w:rPr>
          <w:rFonts w:hint="cs"/>
          <w:b/>
          <w:bCs/>
          <w:color w:val="000000" w:themeColor="text1"/>
          <w:sz w:val="26"/>
          <w:szCs w:val="26"/>
          <w:rtl/>
        </w:rPr>
        <w:t>وفى ضوء ما سبق تسعى الباحثة إلى التعرف على آراء عينة الدراسة حول:</w:t>
      </w:r>
    </w:p>
    <w:p w14:paraId="025C12EA" w14:textId="7D7D9A2A" w:rsidR="003652F9" w:rsidRPr="00E24FBE" w:rsidRDefault="003652F9" w:rsidP="002209B2">
      <w:pPr>
        <w:numPr>
          <w:ilvl w:val="0"/>
          <w:numId w:val="4"/>
        </w:numPr>
        <w:spacing w:line="228" w:lineRule="auto"/>
        <w:ind w:left="227" w:hanging="227"/>
        <w:jc w:val="lowKashida"/>
        <w:rPr>
          <w:color w:val="000000" w:themeColor="text1"/>
          <w:sz w:val="26"/>
          <w:szCs w:val="26"/>
          <w:rtl/>
          <w:lang w:bidi="ar-EG"/>
        </w:rPr>
      </w:pPr>
      <w:r w:rsidRPr="00E24FBE">
        <w:rPr>
          <w:rFonts w:hint="cs"/>
          <w:color w:val="000000" w:themeColor="text1"/>
          <w:sz w:val="26"/>
          <w:szCs w:val="26"/>
          <w:rtl/>
          <w:lang w:bidi="ar-EG"/>
        </w:rPr>
        <w:t xml:space="preserve">وجود علاقة بين </w:t>
      </w:r>
      <w:bookmarkStart w:id="4" w:name="_Hlk143035456"/>
      <w:r w:rsidRPr="00E24FBE">
        <w:rPr>
          <w:rFonts w:hint="cs"/>
          <w:color w:val="000000" w:themeColor="text1"/>
          <w:sz w:val="26"/>
          <w:szCs w:val="26"/>
          <w:rtl/>
          <w:lang w:bidi="ar-EG"/>
        </w:rPr>
        <w:t>الإفصاح المحاسبي عن الدخل الشامل</w:t>
      </w:r>
      <w:bookmarkEnd w:id="4"/>
      <w:r w:rsidRPr="00E24FBE">
        <w:rPr>
          <w:rFonts w:hint="cs"/>
          <w:color w:val="000000" w:themeColor="text1"/>
          <w:sz w:val="26"/>
          <w:szCs w:val="26"/>
          <w:rtl/>
          <w:lang w:bidi="ar-EG"/>
        </w:rPr>
        <w:t xml:space="preserve"> </w:t>
      </w:r>
      <w:bookmarkStart w:id="5" w:name="_Hlk143035496"/>
      <w:r w:rsidRPr="00E24FBE">
        <w:rPr>
          <w:rFonts w:hint="cs"/>
          <w:color w:val="000000" w:themeColor="text1"/>
          <w:sz w:val="26"/>
          <w:szCs w:val="26"/>
          <w:rtl/>
          <w:lang w:bidi="ar-EG"/>
        </w:rPr>
        <w:t>وكفاءة سوق الأوراق المالية</w:t>
      </w:r>
      <w:bookmarkEnd w:id="5"/>
      <w:r w:rsidRPr="00E24FBE">
        <w:rPr>
          <w:rFonts w:hint="cs"/>
          <w:color w:val="000000" w:themeColor="text1"/>
          <w:sz w:val="26"/>
          <w:szCs w:val="26"/>
          <w:rtl/>
          <w:lang w:bidi="ar-EG"/>
        </w:rPr>
        <w:t xml:space="preserve">". </w:t>
      </w:r>
    </w:p>
    <w:p w14:paraId="214E4A97" w14:textId="7002D559" w:rsidR="003652F9" w:rsidRPr="00E24FBE" w:rsidRDefault="003652F9" w:rsidP="002209B2">
      <w:pPr>
        <w:numPr>
          <w:ilvl w:val="0"/>
          <w:numId w:val="4"/>
        </w:numPr>
        <w:spacing w:line="228" w:lineRule="auto"/>
        <w:ind w:left="227" w:hanging="227"/>
        <w:jc w:val="lowKashida"/>
        <w:rPr>
          <w:rFonts w:eastAsiaTheme="majorEastAsia"/>
          <w:color w:val="000000" w:themeColor="text1"/>
          <w:sz w:val="26"/>
          <w:szCs w:val="26"/>
          <w:rtl/>
        </w:rPr>
      </w:pPr>
      <w:r w:rsidRPr="00E24FBE">
        <w:rPr>
          <w:rFonts w:eastAsiaTheme="majorEastAsia" w:hint="cs"/>
          <w:color w:val="000000" w:themeColor="text1"/>
          <w:sz w:val="26"/>
          <w:szCs w:val="26"/>
          <w:rtl/>
        </w:rPr>
        <w:t>وجود علاقة بين الإفصاح المحاسبي عن بنود الدخل الشامل وسلوك أسعار الأسهم.</w:t>
      </w:r>
    </w:p>
    <w:p w14:paraId="60784CEC" w14:textId="6ACCAB81" w:rsidR="003652F9" w:rsidRPr="00E24FBE" w:rsidRDefault="003652F9" w:rsidP="002209B2">
      <w:pPr>
        <w:numPr>
          <w:ilvl w:val="0"/>
          <w:numId w:val="4"/>
        </w:numPr>
        <w:spacing w:line="228" w:lineRule="auto"/>
        <w:ind w:left="227" w:hanging="227"/>
        <w:jc w:val="lowKashida"/>
        <w:rPr>
          <w:color w:val="000000" w:themeColor="text1"/>
          <w:spacing w:val="-6"/>
          <w:sz w:val="26"/>
          <w:szCs w:val="26"/>
          <w:rtl/>
          <w:lang w:bidi="ar-EG"/>
        </w:rPr>
      </w:pPr>
      <w:r w:rsidRPr="00E24FBE">
        <w:rPr>
          <w:rFonts w:eastAsiaTheme="majorEastAsia" w:hint="cs"/>
          <w:b/>
          <w:bCs/>
          <w:color w:val="000000" w:themeColor="text1"/>
          <w:sz w:val="26"/>
          <w:szCs w:val="26"/>
          <w:rtl/>
        </w:rPr>
        <w:t xml:space="preserve"> </w:t>
      </w:r>
      <w:r w:rsidRPr="00E24FBE">
        <w:rPr>
          <w:rFonts w:hint="cs"/>
          <w:color w:val="000000" w:themeColor="text1"/>
          <w:spacing w:val="-6"/>
          <w:sz w:val="26"/>
          <w:szCs w:val="26"/>
          <w:rtl/>
          <w:lang w:bidi="ar-EG"/>
        </w:rPr>
        <w:t>وجود علاقة بين الإفصاح المحاسبي عن المكاسب والخسائر الناتجة عن إعادة تقييم الأصول المالية المتاحة للبيع وسلوك أسعار الأسهم.</w:t>
      </w:r>
    </w:p>
    <w:p w14:paraId="022BD1C7" w14:textId="48DC5FAF" w:rsidR="003652F9" w:rsidRPr="00E24FBE" w:rsidRDefault="003652F9" w:rsidP="002209B2">
      <w:pPr>
        <w:numPr>
          <w:ilvl w:val="0"/>
          <w:numId w:val="4"/>
        </w:numPr>
        <w:spacing w:line="228" w:lineRule="auto"/>
        <w:ind w:left="227" w:hanging="227"/>
        <w:jc w:val="lowKashida"/>
        <w:rPr>
          <w:color w:val="000000" w:themeColor="text1"/>
          <w:sz w:val="26"/>
          <w:szCs w:val="26"/>
          <w:rtl/>
          <w:lang w:bidi="ar-EG"/>
        </w:rPr>
      </w:pPr>
      <w:r w:rsidRPr="00E24FBE">
        <w:rPr>
          <w:rFonts w:eastAsiaTheme="majorEastAsia" w:hint="cs"/>
          <w:b/>
          <w:bCs/>
          <w:color w:val="000000" w:themeColor="text1"/>
          <w:sz w:val="26"/>
          <w:szCs w:val="26"/>
          <w:rtl/>
        </w:rPr>
        <w:t xml:space="preserve"> </w:t>
      </w:r>
      <w:r w:rsidRPr="00E24FBE">
        <w:rPr>
          <w:rFonts w:eastAsiaTheme="majorEastAsia" w:hint="cs"/>
          <w:color w:val="000000" w:themeColor="text1"/>
          <w:sz w:val="26"/>
          <w:szCs w:val="26"/>
          <w:rtl/>
        </w:rPr>
        <w:t>وجود</w:t>
      </w:r>
      <w:r w:rsidRPr="00E24FBE">
        <w:rPr>
          <w:rFonts w:hint="cs"/>
          <w:color w:val="000000" w:themeColor="text1"/>
          <w:sz w:val="26"/>
          <w:szCs w:val="26"/>
          <w:rtl/>
          <w:lang w:bidi="ar-EG"/>
        </w:rPr>
        <w:t xml:space="preserve"> علاقة بين </w:t>
      </w:r>
      <w:bookmarkStart w:id="6" w:name="_Hlk143035568"/>
      <w:r w:rsidRPr="00E24FBE">
        <w:rPr>
          <w:rFonts w:hint="cs"/>
          <w:color w:val="000000" w:themeColor="text1"/>
          <w:sz w:val="26"/>
          <w:szCs w:val="26"/>
          <w:rtl/>
          <w:lang w:bidi="ar-EG"/>
        </w:rPr>
        <w:t xml:space="preserve">الإفصاح المحاسبي عن الجزء الفعال من المكاسب والخسائر على أدوات التغطية المستخدمة في تحوط التدفقات النقدية </w:t>
      </w:r>
      <w:bookmarkEnd w:id="6"/>
      <w:r w:rsidRPr="00E24FBE">
        <w:rPr>
          <w:rFonts w:hint="cs"/>
          <w:color w:val="000000" w:themeColor="text1"/>
          <w:sz w:val="26"/>
          <w:szCs w:val="26"/>
          <w:rtl/>
          <w:lang w:bidi="ar-EG"/>
        </w:rPr>
        <w:t>وسلوك أسعار الأسهم.</w:t>
      </w:r>
    </w:p>
    <w:p w14:paraId="661B832D" w14:textId="494FA519" w:rsidR="003652F9" w:rsidRPr="00E24FBE" w:rsidRDefault="003652F9" w:rsidP="002209B2">
      <w:pPr>
        <w:numPr>
          <w:ilvl w:val="0"/>
          <w:numId w:val="4"/>
        </w:numPr>
        <w:spacing w:line="228" w:lineRule="auto"/>
        <w:ind w:left="227" w:hanging="227"/>
        <w:jc w:val="lowKashida"/>
        <w:rPr>
          <w:color w:val="000000" w:themeColor="text1"/>
          <w:sz w:val="26"/>
          <w:szCs w:val="26"/>
          <w:rtl/>
          <w:lang w:bidi="ar-EG"/>
        </w:rPr>
      </w:pPr>
      <w:r w:rsidRPr="00E24FBE">
        <w:rPr>
          <w:rFonts w:eastAsiaTheme="majorEastAsia" w:hint="cs"/>
          <w:b/>
          <w:bCs/>
          <w:color w:val="000000" w:themeColor="text1"/>
          <w:sz w:val="26"/>
          <w:szCs w:val="26"/>
          <w:rtl/>
        </w:rPr>
        <w:t xml:space="preserve"> </w:t>
      </w:r>
      <w:r w:rsidRPr="00E24FBE">
        <w:rPr>
          <w:rFonts w:hint="cs"/>
          <w:color w:val="000000" w:themeColor="text1"/>
          <w:sz w:val="26"/>
          <w:szCs w:val="26"/>
          <w:rtl/>
          <w:lang w:bidi="ar-EG"/>
        </w:rPr>
        <w:t xml:space="preserve"> وجود علاقة بين </w:t>
      </w:r>
      <w:bookmarkStart w:id="7" w:name="_Hlk143035598"/>
      <w:r w:rsidRPr="00E24FBE">
        <w:rPr>
          <w:rFonts w:hint="cs"/>
          <w:color w:val="000000" w:themeColor="text1"/>
          <w:sz w:val="26"/>
          <w:szCs w:val="26"/>
          <w:rtl/>
          <w:lang w:bidi="ar-EG"/>
        </w:rPr>
        <w:t>الإفصاح المحاسبي عن المكاسب والخسائر الناتجة عن تسويات ترجمة العملات الأجنبية</w:t>
      </w:r>
      <w:bookmarkEnd w:id="7"/>
      <w:r w:rsidRPr="00E24FBE">
        <w:rPr>
          <w:rFonts w:hint="cs"/>
          <w:color w:val="000000" w:themeColor="text1"/>
          <w:sz w:val="26"/>
          <w:szCs w:val="26"/>
          <w:rtl/>
          <w:lang w:bidi="ar-EG"/>
        </w:rPr>
        <w:t xml:space="preserve"> وسلوك أسعار الأسهم.</w:t>
      </w:r>
    </w:p>
    <w:p w14:paraId="488444EB" w14:textId="4B1EEF9A" w:rsidR="003652F9" w:rsidRPr="00E24FBE" w:rsidRDefault="00D979F4" w:rsidP="002209B2">
      <w:pPr>
        <w:numPr>
          <w:ilvl w:val="0"/>
          <w:numId w:val="4"/>
        </w:numPr>
        <w:spacing w:line="228" w:lineRule="auto"/>
        <w:ind w:left="227" w:hanging="227"/>
        <w:jc w:val="lowKashida"/>
        <w:rPr>
          <w:color w:val="000000" w:themeColor="text1"/>
          <w:sz w:val="26"/>
          <w:szCs w:val="26"/>
          <w:rtl/>
          <w:lang w:bidi="ar-EG"/>
        </w:rPr>
      </w:pPr>
      <w:r w:rsidRPr="00E24FBE">
        <w:rPr>
          <w:rFonts w:eastAsiaTheme="majorEastAsia" w:hint="cs"/>
          <w:color w:val="000000" w:themeColor="text1"/>
          <w:sz w:val="26"/>
          <w:szCs w:val="26"/>
          <w:rtl/>
        </w:rPr>
        <w:t>وجود علاقة</w:t>
      </w:r>
      <w:r w:rsidR="003652F9" w:rsidRPr="00E24FBE">
        <w:rPr>
          <w:rFonts w:hint="cs"/>
          <w:color w:val="000000" w:themeColor="text1"/>
          <w:sz w:val="26"/>
          <w:szCs w:val="26"/>
          <w:rtl/>
          <w:lang w:bidi="ar-EG"/>
        </w:rPr>
        <w:t xml:space="preserve"> بين الإفصاح المحاسبي عن المكاسب والخسائر </w:t>
      </w:r>
      <w:proofErr w:type="spellStart"/>
      <w:r w:rsidR="003652F9" w:rsidRPr="00E24FBE">
        <w:rPr>
          <w:rFonts w:hint="cs"/>
          <w:color w:val="000000" w:themeColor="text1"/>
          <w:sz w:val="26"/>
          <w:szCs w:val="26"/>
          <w:rtl/>
          <w:lang w:bidi="ar-EG"/>
        </w:rPr>
        <w:t>الإكتوارية</w:t>
      </w:r>
      <w:proofErr w:type="spellEnd"/>
      <w:r w:rsidR="003652F9" w:rsidRPr="00E24FBE">
        <w:rPr>
          <w:rFonts w:hint="cs"/>
          <w:color w:val="000000" w:themeColor="text1"/>
          <w:sz w:val="26"/>
          <w:szCs w:val="26"/>
          <w:rtl/>
          <w:lang w:bidi="ar-EG"/>
        </w:rPr>
        <w:t xml:space="preserve"> على خطط منافع الموظفين وسلوك أسعار الأسهم</w:t>
      </w:r>
      <w:r w:rsidRPr="00E24FBE">
        <w:rPr>
          <w:rFonts w:hint="cs"/>
          <w:color w:val="000000" w:themeColor="text1"/>
          <w:sz w:val="26"/>
          <w:szCs w:val="26"/>
          <w:rtl/>
          <w:lang w:bidi="ar-EG"/>
        </w:rPr>
        <w:t xml:space="preserve">. </w:t>
      </w:r>
    </w:p>
    <w:p w14:paraId="1554C79C" w14:textId="2CF90251" w:rsidR="003652F9" w:rsidRPr="00E24FBE" w:rsidRDefault="00D979F4" w:rsidP="002209B2">
      <w:pPr>
        <w:numPr>
          <w:ilvl w:val="0"/>
          <w:numId w:val="4"/>
        </w:numPr>
        <w:spacing w:line="228" w:lineRule="auto"/>
        <w:ind w:left="227" w:hanging="227"/>
        <w:jc w:val="lowKashida"/>
        <w:rPr>
          <w:color w:val="000000" w:themeColor="text1"/>
          <w:spacing w:val="-4"/>
          <w:sz w:val="26"/>
          <w:szCs w:val="26"/>
          <w:rtl/>
          <w:lang w:bidi="ar-EG"/>
        </w:rPr>
      </w:pPr>
      <w:r w:rsidRPr="00E24FBE">
        <w:rPr>
          <w:rFonts w:eastAsiaTheme="majorEastAsia" w:hint="cs"/>
          <w:color w:val="000000" w:themeColor="text1"/>
          <w:spacing w:val="-4"/>
          <w:sz w:val="26"/>
          <w:szCs w:val="26"/>
          <w:rtl/>
        </w:rPr>
        <w:t>وجود</w:t>
      </w:r>
      <w:r w:rsidR="003652F9" w:rsidRPr="00E24FBE">
        <w:rPr>
          <w:rFonts w:hint="cs"/>
          <w:color w:val="000000" w:themeColor="text1"/>
          <w:spacing w:val="-4"/>
          <w:sz w:val="26"/>
          <w:szCs w:val="26"/>
          <w:rtl/>
          <w:lang w:bidi="ar-EG"/>
        </w:rPr>
        <w:t xml:space="preserve"> علاقة معنوية بين الإفصاح المحاسبي عن التغيرات في فائض إعادة التقييم للأصول الثابتة والأصول غير الملموسة وسلوك أسعار الأسهم.</w:t>
      </w:r>
    </w:p>
    <w:p w14:paraId="73F7AC64" w14:textId="77777777" w:rsidR="00C65B31" w:rsidRPr="00C85ED3" w:rsidRDefault="00C65B31" w:rsidP="00C85ED3">
      <w:pPr>
        <w:spacing w:before="120"/>
        <w:jc w:val="lowKashida"/>
        <w:rPr>
          <w:b/>
          <w:bCs/>
          <w:color w:val="000000" w:themeColor="text1"/>
          <w:sz w:val="32"/>
          <w:szCs w:val="32"/>
          <w:lang w:bidi="ar-EG"/>
        </w:rPr>
      </w:pPr>
      <w:r w:rsidRPr="00C85ED3">
        <w:rPr>
          <w:rFonts w:hint="cs"/>
          <w:b/>
          <w:bCs/>
          <w:color w:val="000000" w:themeColor="text1"/>
          <w:sz w:val="32"/>
          <w:szCs w:val="32"/>
          <w:rtl/>
          <w:lang w:bidi="ar-EG"/>
        </w:rPr>
        <w:t xml:space="preserve">مجتمع وعينة الدراسة: </w:t>
      </w:r>
    </w:p>
    <w:p w14:paraId="7F9D75E8" w14:textId="0A04F7A0" w:rsidR="00C65B31" w:rsidRPr="00E24FBE" w:rsidRDefault="00D979F4" w:rsidP="00C24E42">
      <w:pPr>
        <w:ind w:firstLine="720"/>
        <w:jc w:val="lowKashida"/>
        <w:rPr>
          <w:rFonts w:eastAsiaTheme="minorEastAsia"/>
          <w:color w:val="000000" w:themeColor="text1"/>
          <w:sz w:val="26"/>
          <w:szCs w:val="26"/>
          <w:rtl/>
        </w:rPr>
      </w:pPr>
      <w:r w:rsidRPr="00E24FBE">
        <w:rPr>
          <w:rFonts w:hint="cs"/>
          <w:color w:val="000000" w:themeColor="text1"/>
          <w:sz w:val="26"/>
          <w:szCs w:val="26"/>
          <w:rtl/>
          <w:lang w:bidi="ar-EG"/>
        </w:rPr>
        <w:t xml:space="preserve"> </w:t>
      </w:r>
      <w:r w:rsidRPr="00E24FBE">
        <w:rPr>
          <w:rFonts w:eastAsiaTheme="minorEastAsia"/>
          <w:color w:val="000000" w:themeColor="text1"/>
          <w:sz w:val="26"/>
          <w:szCs w:val="26"/>
          <w:rtl/>
        </w:rPr>
        <w:t xml:space="preserve">يتمثل مجتمع الدراسة </w:t>
      </w:r>
      <w:r w:rsidRPr="00E24FBE">
        <w:rPr>
          <w:rFonts w:eastAsiaTheme="minorEastAsia" w:hint="cs"/>
          <w:color w:val="000000" w:themeColor="text1"/>
          <w:sz w:val="26"/>
          <w:szCs w:val="26"/>
          <w:rtl/>
        </w:rPr>
        <w:t>في الفئات التالية:</w:t>
      </w:r>
      <w:r w:rsidRPr="00E24FBE">
        <w:rPr>
          <w:rFonts w:eastAsiaTheme="minorEastAsia"/>
          <w:color w:val="000000" w:themeColor="text1"/>
          <w:sz w:val="26"/>
          <w:szCs w:val="26"/>
          <w:rtl/>
        </w:rPr>
        <w:t xml:space="preserve"> </w:t>
      </w:r>
      <w:r w:rsidRPr="00E24FBE">
        <w:rPr>
          <w:rFonts w:eastAsiaTheme="minorEastAsia" w:hint="cs"/>
          <w:color w:val="000000" w:themeColor="text1"/>
          <w:sz w:val="26"/>
          <w:szCs w:val="26"/>
          <w:rtl/>
        </w:rPr>
        <w:t xml:space="preserve">(مراجعي الحسابات </w:t>
      </w:r>
      <w:r w:rsidRPr="00E24FBE">
        <w:rPr>
          <w:rFonts w:eastAsiaTheme="minorEastAsia"/>
          <w:color w:val="000000" w:themeColor="text1"/>
          <w:sz w:val="26"/>
          <w:szCs w:val="26"/>
          <w:rtl/>
        </w:rPr>
        <w:t>–</w:t>
      </w:r>
      <w:r w:rsidRPr="00E24FBE">
        <w:rPr>
          <w:rFonts w:eastAsiaTheme="minorEastAsia" w:hint="cs"/>
          <w:color w:val="000000" w:themeColor="text1"/>
          <w:sz w:val="26"/>
          <w:szCs w:val="26"/>
          <w:rtl/>
        </w:rPr>
        <w:t xml:space="preserve"> معدي التقارير والقوائم المالية </w:t>
      </w:r>
      <w:r w:rsidRPr="00E24FBE">
        <w:rPr>
          <w:rFonts w:eastAsiaTheme="minorEastAsia"/>
          <w:color w:val="000000" w:themeColor="text1"/>
          <w:sz w:val="26"/>
          <w:szCs w:val="26"/>
          <w:rtl/>
        </w:rPr>
        <w:t>–</w:t>
      </w:r>
      <w:r w:rsidRPr="00E24FBE">
        <w:rPr>
          <w:rFonts w:eastAsiaTheme="minorEastAsia" w:hint="cs"/>
          <w:color w:val="000000" w:themeColor="text1"/>
          <w:sz w:val="26"/>
          <w:szCs w:val="26"/>
          <w:rtl/>
        </w:rPr>
        <w:t xml:space="preserve"> مستخدمي التقارير والقوائم المالية </w:t>
      </w:r>
      <w:r w:rsidRPr="00E24FBE">
        <w:rPr>
          <w:rFonts w:eastAsiaTheme="minorEastAsia"/>
          <w:color w:val="000000" w:themeColor="text1"/>
          <w:sz w:val="26"/>
          <w:szCs w:val="26"/>
          <w:rtl/>
        </w:rPr>
        <w:t>–</w:t>
      </w:r>
      <w:r w:rsidRPr="00E24FBE">
        <w:rPr>
          <w:rFonts w:eastAsiaTheme="minorEastAsia" w:hint="cs"/>
          <w:color w:val="000000" w:themeColor="text1"/>
          <w:sz w:val="26"/>
          <w:szCs w:val="26"/>
          <w:rtl/>
        </w:rPr>
        <w:t xml:space="preserve"> أعضاء هيئة التدريس بالجامعات المصرية </w:t>
      </w:r>
      <w:r w:rsidRPr="00E24FBE">
        <w:rPr>
          <w:rFonts w:eastAsiaTheme="minorEastAsia"/>
          <w:color w:val="000000" w:themeColor="text1"/>
          <w:sz w:val="26"/>
          <w:szCs w:val="26"/>
          <w:rtl/>
        </w:rPr>
        <w:t>–</w:t>
      </w:r>
      <w:r w:rsidRPr="00E24FBE">
        <w:rPr>
          <w:rFonts w:eastAsiaTheme="minorEastAsia" w:hint="cs"/>
          <w:color w:val="000000" w:themeColor="text1"/>
          <w:sz w:val="26"/>
          <w:szCs w:val="26"/>
          <w:rtl/>
        </w:rPr>
        <w:t xml:space="preserve"> الوسطاء الماليين).</w:t>
      </w:r>
      <w:r w:rsidR="00C65B31" w:rsidRPr="00E24FBE">
        <w:rPr>
          <w:rFonts w:hint="cs"/>
          <w:color w:val="000000" w:themeColor="text1"/>
          <w:sz w:val="26"/>
          <w:szCs w:val="26"/>
          <w:rtl/>
          <w:lang w:bidi="ar-EG"/>
        </w:rPr>
        <w:t xml:space="preserve"> و</w:t>
      </w:r>
      <w:r w:rsidR="00C65B31" w:rsidRPr="00E24FBE">
        <w:rPr>
          <w:rFonts w:hint="cs"/>
          <w:b/>
          <w:bCs/>
          <w:color w:val="000000" w:themeColor="text1"/>
          <w:sz w:val="26"/>
          <w:szCs w:val="26"/>
          <w:rtl/>
        </w:rPr>
        <w:t xml:space="preserve"> قامت الباحثة</w:t>
      </w:r>
      <w:r w:rsidR="00C65B31" w:rsidRPr="00E24FBE">
        <w:rPr>
          <w:rFonts w:hint="cs"/>
          <w:color w:val="000000" w:themeColor="text1"/>
          <w:sz w:val="26"/>
          <w:szCs w:val="26"/>
          <w:rtl/>
        </w:rPr>
        <w:t xml:space="preserve"> بتوزيع قوائم الاستقصاء والتي بغلت (</w:t>
      </w:r>
      <w:r w:rsidRPr="00E24FBE">
        <w:rPr>
          <w:rFonts w:hint="cs"/>
          <w:color w:val="000000" w:themeColor="text1"/>
          <w:sz w:val="26"/>
          <w:szCs w:val="26"/>
          <w:rtl/>
        </w:rPr>
        <w:t>290</w:t>
      </w:r>
      <w:r w:rsidR="00C65B31" w:rsidRPr="00E24FBE">
        <w:rPr>
          <w:rFonts w:hint="cs"/>
          <w:color w:val="000000" w:themeColor="text1"/>
          <w:sz w:val="26"/>
          <w:szCs w:val="26"/>
          <w:rtl/>
        </w:rPr>
        <w:t xml:space="preserve"> قائمة) من خلال المقابلة الشخصية والتسليم باليد أو إرسالها واستلامها عن طريق البريد </w:t>
      </w:r>
      <w:proofErr w:type="spellStart"/>
      <w:r w:rsidR="00C65B31" w:rsidRPr="00E24FBE">
        <w:rPr>
          <w:rFonts w:hint="cs"/>
          <w:color w:val="000000" w:themeColor="text1"/>
          <w:sz w:val="26"/>
          <w:szCs w:val="26"/>
          <w:rtl/>
        </w:rPr>
        <w:t>الإلكترونى</w:t>
      </w:r>
      <w:proofErr w:type="spellEnd"/>
      <w:r w:rsidR="00C65B31" w:rsidRPr="00E24FBE">
        <w:rPr>
          <w:rFonts w:hint="cs"/>
          <w:color w:val="000000" w:themeColor="text1"/>
          <w:sz w:val="26"/>
          <w:szCs w:val="26"/>
          <w:rtl/>
        </w:rPr>
        <w:t>، بالإضافة إلى اللجوء إلى إعداد نموذج لقائمة الاستقصاء من خلال نماذج جوجل</w:t>
      </w:r>
      <w:r w:rsidR="00C65B31" w:rsidRPr="00E24FBE">
        <w:rPr>
          <w:color w:val="000000" w:themeColor="text1"/>
          <w:sz w:val="26"/>
          <w:szCs w:val="26"/>
          <w:vertAlign w:val="superscript"/>
          <w:rtl/>
        </w:rPr>
        <w:t>(</w:t>
      </w:r>
      <w:r w:rsidR="00C65B31" w:rsidRPr="00E24FBE">
        <w:rPr>
          <w:color w:val="000000" w:themeColor="text1"/>
          <w:sz w:val="26"/>
          <w:szCs w:val="26"/>
          <w:vertAlign w:val="superscript"/>
          <w:rtl/>
        </w:rPr>
        <w:footnoteReference w:id="1"/>
      </w:r>
      <w:r w:rsidR="00C65B31" w:rsidRPr="00E24FBE">
        <w:rPr>
          <w:rFonts w:hint="cs"/>
          <w:color w:val="000000" w:themeColor="text1"/>
          <w:sz w:val="26"/>
          <w:szCs w:val="26"/>
          <w:vertAlign w:val="superscript"/>
          <w:rtl/>
        </w:rPr>
        <w:t>)</w:t>
      </w:r>
      <w:r w:rsidR="00C65B31" w:rsidRPr="00E24FBE">
        <w:rPr>
          <w:rFonts w:hint="cs"/>
          <w:color w:val="000000" w:themeColor="text1"/>
          <w:sz w:val="26"/>
          <w:szCs w:val="26"/>
          <w:rtl/>
        </w:rPr>
        <w:t>.</w:t>
      </w:r>
    </w:p>
    <w:p w14:paraId="4C4C1D8E" w14:textId="66AF704E" w:rsidR="00C65B31" w:rsidRPr="00E24FBE" w:rsidRDefault="00C65B31" w:rsidP="00C24E42">
      <w:pPr>
        <w:ind w:firstLine="720"/>
        <w:jc w:val="lowKashida"/>
        <w:rPr>
          <w:b/>
          <w:bCs/>
          <w:color w:val="000000" w:themeColor="text1"/>
          <w:sz w:val="26"/>
          <w:szCs w:val="26"/>
          <w:rtl/>
        </w:rPr>
      </w:pPr>
      <w:r w:rsidRPr="00E24FBE">
        <w:rPr>
          <w:rFonts w:hint="cs"/>
          <w:b/>
          <w:bCs/>
          <w:color w:val="000000" w:themeColor="text1"/>
          <w:sz w:val="26"/>
          <w:szCs w:val="26"/>
          <w:rtl/>
        </w:rPr>
        <w:t>وقامت الباحثة بفرز الاستمارات المستردة</w:t>
      </w:r>
      <w:r w:rsidRPr="00E24FBE">
        <w:rPr>
          <w:rFonts w:hint="cs"/>
          <w:color w:val="000000" w:themeColor="text1"/>
          <w:sz w:val="26"/>
          <w:szCs w:val="26"/>
          <w:rtl/>
        </w:rPr>
        <w:t xml:space="preserve"> لتحديد نسبة الاستجابة من قبل فئات الدراسة، ومدى صلاحية هذه الاستمارات لإخضاعها للتحليل الاحصائي واستخلاص منها النتائج الاحصائية، </w:t>
      </w:r>
      <w:r w:rsidRPr="00E24FBE">
        <w:rPr>
          <w:rFonts w:hint="cs"/>
          <w:b/>
          <w:bCs/>
          <w:color w:val="000000" w:themeColor="text1"/>
          <w:sz w:val="26"/>
          <w:szCs w:val="26"/>
          <w:rtl/>
        </w:rPr>
        <w:t>ويمكن للباحثة توضيح ذلك من خلال الجدول التالي:</w:t>
      </w:r>
      <w:r w:rsidR="00D979F4" w:rsidRPr="00E24FBE">
        <w:rPr>
          <w:rFonts w:hint="cs"/>
          <w:b/>
          <w:bCs/>
          <w:color w:val="000000" w:themeColor="text1"/>
          <w:sz w:val="26"/>
          <w:szCs w:val="26"/>
          <w:rtl/>
        </w:rPr>
        <w:t xml:space="preserve"> </w:t>
      </w:r>
    </w:p>
    <w:p w14:paraId="03F1F59D" w14:textId="77777777" w:rsidR="00D979F4" w:rsidRPr="002D5A8A" w:rsidRDefault="00D979F4" w:rsidP="00C24E42">
      <w:pPr>
        <w:jc w:val="center"/>
        <w:rPr>
          <w:b/>
          <w:bCs/>
          <w:color w:val="000000" w:themeColor="text1"/>
          <w:sz w:val="26"/>
          <w:szCs w:val="26"/>
          <w:lang w:bidi="ar-EG"/>
        </w:rPr>
      </w:pPr>
      <w:r w:rsidRPr="002D5A8A">
        <w:rPr>
          <w:b/>
          <w:bCs/>
          <w:color w:val="000000" w:themeColor="text1"/>
          <w:sz w:val="26"/>
          <w:szCs w:val="26"/>
          <w:rtl/>
          <w:lang w:bidi="ar-EG"/>
        </w:rPr>
        <w:lastRenderedPageBreak/>
        <w:t>جدول</w:t>
      </w:r>
      <w:r w:rsidRPr="002D5A8A">
        <w:rPr>
          <w:rFonts w:hint="cs"/>
          <w:b/>
          <w:bCs/>
          <w:color w:val="000000" w:themeColor="text1"/>
          <w:sz w:val="26"/>
          <w:szCs w:val="26"/>
          <w:rtl/>
          <w:lang w:bidi="ar-EG"/>
        </w:rPr>
        <w:t xml:space="preserve"> رقم</w:t>
      </w:r>
      <w:r w:rsidRPr="002D5A8A">
        <w:rPr>
          <w:b/>
          <w:bCs/>
          <w:color w:val="000000" w:themeColor="text1"/>
          <w:sz w:val="26"/>
          <w:szCs w:val="26"/>
          <w:rtl/>
          <w:lang w:bidi="ar-EG"/>
        </w:rPr>
        <w:t xml:space="preserve"> </w:t>
      </w:r>
      <w:r w:rsidRPr="002D5A8A">
        <w:rPr>
          <w:rFonts w:hint="cs"/>
          <w:b/>
          <w:bCs/>
          <w:color w:val="000000" w:themeColor="text1"/>
          <w:sz w:val="26"/>
          <w:szCs w:val="26"/>
          <w:rtl/>
          <w:lang w:bidi="ar-EG"/>
        </w:rPr>
        <w:t>(1</w:t>
      </w:r>
      <w:r w:rsidRPr="002D5A8A">
        <w:rPr>
          <w:b/>
          <w:bCs/>
          <w:color w:val="000000" w:themeColor="text1"/>
          <w:sz w:val="26"/>
          <w:szCs w:val="26"/>
          <w:rtl/>
          <w:lang w:bidi="ar-EG"/>
        </w:rPr>
        <w:t xml:space="preserve">): </w:t>
      </w:r>
      <w:r w:rsidRPr="002D5A8A">
        <w:rPr>
          <w:rFonts w:hint="cs"/>
          <w:b/>
          <w:bCs/>
          <w:color w:val="000000" w:themeColor="text1"/>
          <w:sz w:val="26"/>
          <w:szCs w:val="26"/>
          <w:rtl/>
          <w:lang w:bidi="ar-EG"/>
        </w:rPr>
        <w:t>يوضح حجم العينة "عدد قوائم الاستقصاء الموزعة، عدد قوائم الاستقصاء المستلمة، نسبة الاستجابة، عدد قوائم الاستقصاء الصالحة للتحليل ونسبتها"</w:t>
      </w:r>
    </w:p>
    <w:tbl>
      <w:tblPr>
        <w:bidiVisual/>
        <w:tblW w:w="5226"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81"/>
        <w:gridCol w:w="1567"/>
        <w:gridCol w:w="1072"/>
        <w:gridCol w:w="1065"/>
        <w:gridCol w:w="1591"/>
        <w:gridCol w:w="875"/>
      </w:tblGrid>
      <w:tr w:rsidR="009C4D0A" w:rsidRPr="002C31E5" w14:paraId="4B65FC0B" w14:textId="77777777" w:rsidTr="002C31E5">
        <w:trPr>
          <w:trHeight w:val="20"/>
          <w:tblHeader/>
          <w:jc w:val="center"/>
        </w:trPr>
        <w:tc>
          <w:tcPr>
            <w:tcW w:w="1553" w:type="pct"/>
            <w:shd w:val="thinDiagCross" w:color="D9D9D9" w:themeColor="background1" w:themeShade="D9" w:fill="FFFFFF" w:themeFill="background1"/>
            <w:vAlign w:val="center"/>
          </w:tcPr>
          <w:p w14:paraId="4E77EF53" w14:textId="6673C7ED" w:rsidR="00D979F4" w:rsidRPr="00C85ED3" w:rsidRDefault="00D979F4" w:rsidP="00C85ED3">
            <w:pPr>
              <w:spacing w:line="192" w:lineRule="auto"/>
              <w:jc w:val="center"/>
              <w:rPr>
                <w:b/>
                <w:bCs/>
                <w:color w:val="000000" w:themeColor="text1"/>
                <w:sz w:val="24"/>
                <w:szCs w:val="24"/>
                <w:rtl/>
                <w:lang w:bidi="ar-EG"/>
              </w:rPr>
            </w:pPr>
            <w:r w:rsidRPr="00C85ED3">
              <w:rPr>
                <w:b/>
                <w:bCs/>
                <w:color w:val="000000" w:themeColor="text1"/>
                <w:sz w:val="24"/>
                <w:szCs w:val="24"/>
                <w:rtl/>
                <w:lang w:bidi="ar-EG"/>
              </w:rPr>
              <w:t>الفئة</w:t>
            </w:r>
          </w:p>
        </w:tc>
        <w:tc>
          <w:tcPr>
            <w:tcW w:w="875" w:type="pct"/>
            <w:shd w:val="thinDiagCross" w:color="D9D9D9" w:themeColor="background1" w:themeShade="D9" w:fill="FFFFFF" w:themeFill="background1"/>
            <w:vAlign w:val="center"/>
          </w:tcPr>
          <w:p w14:paraId="6A251C77" w14:textId="77777777" w:rsidR="00D979F4" w:rsidRPr="00C85ED3" w:rsidRDefault="00D979F4" w:rsidP="00C85ED3">
            <w:pPr>
              <w:spacing w:line="192" w:lineRule="auto"/>
              <w:jc w:val="center"/>
              <w:rPr>
                <w:b/>
                <w:bCs/>
                <w:color w:val="000000" w:themeColor="text1"/>
                <w:sz w:val="24"/>
                <w:szCs w:val="24"/>
                <w:rtl/>
              </w:rPr>
            </w:pPr>
            <w:r w:rsidRPr="00C85ED3">
              <w:rPr>
                <w:b/>
                <w:bCs/>
                <w:color w:val="000000" w:themeColor="text1"/>
                <w:sz w:val="24"/>
                <w:szCs w:val="24"/>
                <w:rtl/>
              </w:rPr>
              <w:t xml:space="preserve">عدد </w:t>
            </w:r>
            <w:r w:rsidRPr="00C85ED3">
              <w:rPr>
                <w:b/>
                <w:bCs/>
                <w:color w:val="000000" w:themeColor="text1"/>
                <w:sz w:val="24"/>
                <w:szCs w:val="24"/>
                <w:rtl/>
                <w:lang w:bidi="ar-EG"/>
              </w:rPr>
              <w:t>قوائم الاستقصاء</w:t>
            </w:r>
            <w:r w:rsidRPr="00C85ED3">
              <w:rPr>
                <w:b/>
                <w:bCs/>
                <w:color w:val="000000" w:themeColor="text1"/>
                <w:sz w:val="24"/>
                <w:szCs w:val="24"/>
                <w:rtl/>
              </w:rPr>
              <w:t xml:space="preserve"> الموزعة</w:t>
            </w:r>
          </w:p>
          <w:p w14:paraId="2CC1EEDA" w14:textId="77777777" w:rsidR="00D979F4" w:rsidRPr="00C85ED3" w:rsidRDefault="00D979F4" w:rsidP="00C85ED3">
            <w:pPr>
              <w:spacing w:line="192" w:lineRule="auto"/>
              <w:jc w:val="center"/>
              <w:rPr>
                <w:b/>
                <w:bCs/>
                <w:color w:val="000000" w:themeColor="text1"/>
                <w:sz w:val="24"/>
                <w:szCs w:val="24"/>
                <w:rtl/>
              </w:rPr>
            </w:pPr>
            <w:r w:rsidRPr="00C85ED3">
              <w:rPr>
                <w:b/>
                <w:bCs/>
                <w:color w:val="000000" w:themeColor="text1"/>
                <w:sz w:val="24"/>
                <w:szCs w:val="24"/>
                <w:rtl/>
              </w:rPr>
              <w:t>(حجم العينة)</w:t>
            </w:r>
          </w:p>
        </w:tc>
        <w:tc>
          <w:tcPr>
            <w:tcW w:w="599" w:type="pct"/>
            <w:shd w:val="thinDiagCross" w:color="D9D9D9" w:themeColor="background1" w:themeShade="D9" w:fill="FFFFFF" w:themeFill="background1"/>
            <w:vAlign w:val="center"/>
          </w:tcPr>
          <w:p w14:paraId="26F4F112" w14:textId="77777777" w:rsidR="00D979F4" w:rsidRPr="00C85ED3" w:rsidRDefault="00D979F4" w:rsidP="00C85ED3">
            <w:pPr>
              <w:spacing w:line="192" w:lineRule="auto"/>
              <w:jc w:val="center"/>
              <w:rPr>
                <w:b/>
                <w:bCs/>
                <w:color w:val="000000" w:themeColor="text1"/>
                <w:sz w:val="24"/>
                <w:szCs w:val="24"/>
                <w:rtl/>
              </w:rPr>
            </w:pPr>
            <w:r w:rsidRPr="00C85ED3">
              <w:rPr>
                <w:b/>
                <w:bCs/>
                <w:color w:val="000000" w:themeColor="text1"/>
                <w:sz w:val="24"/>
                <w:szCs w:val="24"/>
                <w:rtl/>
              </w:rPr>
              <w:t>عدد قوائم الاستقصاء المستلمة</w:t>
            </w:r>
          </w:p>
        </w:tc>
        <w:tc>
          <w:tcPr>
            <w:tcW w:w="595" w:type="pct"/>
            <w:shd w:val="thinDiagCross" w:color="D9D9D9" w:themeColor="background1" w:themeShade="D9" w:fill="FFFFFF" w:themeFill="background1"/>
            <w:vAlign w:val="center"/>
          </w:tcPr>
          <w:p w14:paraId="1DD10B25" w14:textId="77777777" w:rsidR="00D979F4" w:rsidRPr="00C85ED3" w:rsidRDefault="00D979F4" w:rsidP="00C85ED3">
            <w:pPr>
              <w:spacing w:line="192" w:lineRule="auto"/>
              <w:jc w:val="center"/>
              <w:rPr>
                <w:b/>
                <w:bCs/>
                <w:color w:val="000000" w:themeColor="text1"/>
                <w:sz w:val="24"/>
                <w:szCs w:val="24"/>
                <w:rtl/>
              </w:rPr>
            </w:pPr>
            <w:r w:rsidRPr="00C85ED3">
              <w:rPr>
                <w:rFonts w:hint="cs"/>
                <w:b/>
                <w:bCs/>
                <w:color w:val="000000" w:themeColor="text1"/>
                <w:sz w:val="24"/>
                <w:szCs w:val="24"/>
                <w:rtl/>
              </w:rPr>
              <w:t>نسبة الاستجابة %</w:t>
            </w:r>
          </w:p>
        </w:tc>
        <w:tc>
          <w:tcPr>
            <w:tcW w:w="889" w:type="pct"/>
            <w:shd w:val="thinDiagCross" w:color="D9D9D9" w:themeColor="background1" w:themeShade="D9" w:fill="FFFFFF" w:themeFill="background1"/>
            <w:vAlign w:val="center"/>
          </w:tcPr>
          <w:p w14:paraId="77A5487B" w14:textId="77777777" w:rsidR="00D979F4" w:rsidRPr="00C85ED3" w:rsidRDefault="00D979F4" w:rsidP="00C85ED3">
            <w:pPr>
              <w:spacing w:line="192" w:lineRule="auto"/>
              <w:jc w:val="center"/>
              <w:rPr>
                <w:b/>
                <w:bCs/>
                <w:color w:val="000000" w:themeColor="text1"/>
                <w:sz w:val="24"/>
                <w:szCs w:val="24"/>
                <w:rtl/>
              </w:rPr>
            </w:pPr>
            <w:r w:rsidRPr="00C85ED3">
              <w:rPr>
                <w:b/>
                <w:bCs/>
                <w:color w:val="000000" w:themeColor="text1"/>
                <w:sz w:val="24"/>
                <w:szCs w:val="24"/>
                <w:rtl/>
              </w:rPr>
              <w:t>عدد قوائم الاستقصاء الصالحة للتحليل</w:t>
            </w:r>
          </w:p>
        </w:tc>
        <w:tc>
          <w:tcPr>
            <w:tcW w:w="489" w:type="pct"/>
            <w:shd w:val="thinDiagCross" w:color="D9D9D9" w:themeColor="background1" w:themeShade="D9" w:fill="FFFFFF" w:themeFill="background1"/>
            <w:vAlign w:val="center"/>
          </w:tcPr>
          <w:p w14:paraId="1ADA7FD0" w14:textId="77777777" w:rsidR="00D979F4" w:rsidRPr="00C85ED3" w:rsidRDefault="00D979F4" w:rsidP="00C85ED3">
            <w:pPr>
              <w:spacing w:line="192" w:lineRule="auto"/>
              <w:jc w:val="center"/>
              <w:rPr>
                <w:b/>
                <w:bCs/>
                <w:color w:val="000000" w:themeColor="text1"/>
                <w:sz w:val="24"/>
                <w:szCs w:val="24"/>
                <w:rtl/>
              </w:rPr>
            </w:pPr>
            <w:r w:rsidRPr="00C85ED3">
              <w:rPr>
                <w:b/>
                <w:bCs/>
                <w:color w:val="000000" w:themeColor="text1"/>
                <w:sz w:val="24"/>
                <w:szCs w:val="24"/>
                <w:rtl/>
              </w:rPr>
              <w:t xml:space="preserve">نسبة </w:t>
            </w:r>
            <w:r w:rsidRPr="00C85ED3">
              <w:rPr>
                <w:rFonts w:hint="cs"/>
                <w:b/>
                <w:bCs/>
                <w:color w:val="000000" w:themeColor="text1"/>
                <w:sz w:val="24"/>
                <w:szCs w:val="24"/>
                <w:rtl/>
              </w:rPr>
              <w:t>القوائم الصالحة</w:t>
            </w:r>
          </w:p>
        </w:tc>
      </w:tr>
      <w:tr w:rsidR="009C4D0A" w:rsidRPr="002C31E5" w14:paraId="2E096461" w14:textId="77777777" w:rsidTr="002C31E5">
        <w:trPr>
          <w:trHeight w:val="20"/>
          <w:jc w:val="center"/>
        </w:trPr>
        <w:tc>
          <w:tcPr>
            <w:tcW w:w="1553" w:type="pct"/>
            <w:shd w:val="clear" w:color="auto" w:fill="auto"/>
            <w:vAlign w:val="center"/>
          </w:tcPr>
          <w:p w14:paraId="228315A7" w14:textId="77777777" w:rsidR="00D979F4" w:rsidRPr="00C85ED3" w:rsidRDefault="00D979F4" w:rsidP="00C85ED3">
            <w:pPr>
              <w:spacing w:line="192" w:lineRule="auto"/>
              <w:jc w:val="center"/>
              <w:rPr>
                <w:color w:val="000000" w:themeColor="text1"/>
                <w:sz w:val="24"/>
                <w:szCs w:val="24"/>
                <w:rtl/>
                <w:lang w:bidi="ar-EG"/>
              </w:rPr>
            </w:pPr>
            <w:r w:rsidRPr="00C85ED3">
              <w:rPr>
                <w:rFonts w:eastAsiaTheme="minorEastAsia" w:hint="cs"/>
                <w:color w:val="000000" w:themeColor="text1"/>
                <w:sz w:val="24"/>
                <w:szCs w:val="24"/>
                <w:rtl/>
              </w:rPr>
              <w:t>مراجعي الحسابات</w:t>
            </w:r>
          </w:p>
        </w:tc>
        <w:tc>
          <w:tcPr>
            <w:tcW w:w="875" w:type="pct"/>
            <w:shd w:val="clear" w:color="auto" w:fill="auto"/>
            <w:vAlign w:val="center"/>
          </w:tcPr>
          <w:p w14:paraId="19E2717A"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28</w:t>
            </w:r>
          </w:p>
        </w:tc>
        <w:tc>
          <w:tcPr>
            <w:tcW w:w="599" w:type="pct"/>
            <w:shd w:val="clear" w:color="auto" w:fill="auto"/>
            <w:vAlign w:val="center"/>
          </w:tcPr>
          <w:p w14:paraId="1F280594"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26</w:t>
            </w:r>
          </w:p>
        </w:tc>
        <w:tc>
          <w:tcPr>
            <w:tcW w:w="595" w:type="pct"/>
            <w:vAlign w:val="center"/>
          </w:tcPr>
          <w:p w14:paraId="5D6AB157"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92.8</w:t>
            </w:r>
          </w:p>
        </w:tc>
        <w:tc>
          <w:tcPr>
            <w:tcW w:w="889" w:type="pct"/>
            <w:vAlign w:val="center"/>
          </w:tcPr>
          <w:p w14:paraId="612247BF"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24</w:t>
            </w:r>
          </w:p>
        </w:tc>
        <w:tc>
          <w:tcPr>
            <w:tcW w:w="489" w:type="pct"/>
            <w:shd w:val="clear" w:color="auto" w:fill="auto"/>
            <w:vAlign w:val="center"/>
          </w:tcPr>
          <w:p w14:paraId="7B274EDD"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92.3</w:t>
            </w:r>
          </w:p>
        </w:tc>
      </w:tr>
      <w:tr w:rsidR="009C4D0A" w:rsidRPr="002C31E5" w14:paraId="4501F410" w14:textId="77777777" w:rsidTr="002C31E5">
        <w:trPr>
          <w:trHeight w:val="20"/>
          <w:jc w:val="center"/>
        </w:trPr>
        <w:tc>
          <w:tcPr>
            <w:tcW w:w="1553" w:type="pct"/>
            <w:shd w:val="clear" w:color="auto" w:fill="auto"/>
            <w:vAlign w:val="center"/>
          </w:tcPr>
          <w:p w14:paraId="395CACE3" w14:textId="77777777" w:rsidR="00D979F4" w:rsidRPr="00C85ED3" w:rsidRDefault="00D979F4" w:rsidP="00C85ED3">
            <w:pPr>
              <w:spacing w:line="192" w:lineRule="auto"/>
              <w:jc w:val="center"/>
              <w:rPr>
                <w:color w:val="000000" w:themeColor="text1"/>
                <w:sz w:val="24"/>
                <w:szCs w:val="24"/>
                <w:rtl/>
                <w:lang w:bidi="ar-EG"/>
              </w:rPr>
            </w:pPr>
            <w:r w:rsidRPr="00C85ED3">
              <w:rPr>
                <w:rFonts w:eastAsiaTheme="minorEastAsia" w:hint="cs"/>
                <w:color w:val="000000" w:themeColor="text1"/>
                <w:sz w:val="24"/>
                <w:szCs w:val="24"/>
                <w:rtl/>
              </w:rPr>
              <w:t>معدي التقارير والقوائم المالية</w:t>
            </w:r>
          </w:p>
        </w:tc>
        <w:tc>
          <w:tcPr>
            <w:tcW w:w="875" w:type="pct"/>
            <w:shd w:val="clear" w:color="auto" w:fill="auto"/>
            <w:vAlign w:val="center"/>
          </w:tcPr>
          <w:p w14:paraId="33615D87"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31</w:t>
            </w:r>
          </w:p>
        </w:tc>
        <w:tc>
          <w:tcPr>
            <w:tcW w:w="599" w:type="pct"/>
            <w:shd w:val="clear" w:color="auto" w:fill="auto"/>
            <w:vAlign w:val="center"/>
          </w:tcPr>
          <w:p w14:paraId="394DCE73"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28</w:t>
            </w:r>
          </w:p>
        </w:tc>
        <w:tc>
          <w:tcPr>
            <w:tcW w:w="595" w:type="pct"/>
            <w:vAlign w:val="center"/>
          </w:tcPr>
          <w:p w14:paraId="78F5D369"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90.3</w:t>
            </w:r>
          </w:p>
        </w:tc>
        <w:tc>
          <w:tcPr>
            <w:tcW w:w="889" w:type="pct"/>
            <w:vAlign w:val="center"/>
          </w:tcPr>
          <w:p w14:paraId="09BC67D9"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26</w:t>
            </w:r>
          </w:p>
        </w:tc>
        <w:tc>
          <w:tcPr>
            <w:tcW w:w="489" w:type="pct"/>
            <w:shd w:val="clear" w:color="auto" w:fill="auto"/>
            <w:vAlign w:val="center"/>
          </w:tcPr>
          <w:p w14:paraId="1BE89752"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92.8</w:t>
            </w:r>
          </w:p>
        </w:tc>
      </w:tr>
      <w:tr w:rsidR="009C4D0A" w:rsidRPr="002C31E5" w14:paraId="628B8174" w14:textId="77777777" w:rsidTr="002C31E5">
        <w:trPr>
          <w:trHeight w:val="20"/>
          <w:jc w:val="center"/>
        </w:trPr>
        <w:tc>
          <w:tcPr>
            <w:tcW w:w="1553" w:type="pct"/>
            <w:shd w:val="clear" w:color="auto" w:fill="auto"/>
            <w:vAlign w:val="center"/>
          </w:tcPr>
          <w:p w14:paraId="76FCEA64" w14:textId="77777777" w:rsidR="00D979F4" w:rsidRPr="00C85ED3" w:rsidRDefault="00D979F4" w:rsidP="00C85ED3">
            <w:pPr>
              <w:spacing w:line="192" w:lineRule="auto"/>
              <w:jc w:val="center"/>
              <w:rPr>
                <w:color w:val="000000" w:themeColor="text1"/>
                <w:sz w:val="24"/>
                <w:szCs w:val="24"/>
                <w:rtl/>
                <w:lang w:bidi="ar-EG"/>
              </w:rPr>
            </w:pPr>
            <w:r w:rsidRPr="00C85ED3">
              <w:rPr>
                <w:rFonts w:eastAsiaTheme="minorEastAsia" w:hint="cs"/>
                <w:color w:val="000000" w:themeColor="text1"/>
                <w:sz w:val="24"/>
                <w:szCs w:val="24"/>
                <w:rtl/>
              </w:rPr>
              <w:t>مستخدمي التقارير والقوائم المالية</w:t>
            </w:r>
          </w:p>
        </w:tc>
        <w:tc>
          <w:tcPr>
            <w:tcW w:w="875" w:type="pct"/>
            <w:shd w:val="clear" w:color="auto" w:fill="auto"/>
            <w:vAlign w:val="center"/>
          </w:tcPr>
          <w:p w14:paraId="5FB903B3"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66</w:t>
            </w:r>
          </w:p>
        </w:tc>
        <w:tc>
          <w:tcPr>
            <w:tcW w:w="599" w:type="pct"/>
            <w:shd w:val="clear" w:color="auto" w:fill="auto"/>
            <w:vAlign w:val="center"/>
          </w:tcPr>
          <w:p w14:paraId="57CFD027"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61</w:t>
            </w:r>
          </w:p>
        </w:tc>
        <w:tc>
          <w:tcPr>
            <w:tcW w:w="595" w:type="pct"/>
            <w:vAlign w:val="center"/>
          </w:tcPr>
          <w:p w14:paraId="5A71581C"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92.4</w:t>
            </w:r>
          </w:p>
        </w:tc>
        <w:tc>
          <w:tcPr>
            <w:tcW w:w="889" w:type="pct"/>
            <w:vAlign w:val="center"/>
          </w:tcPr>
          <w:p w14:paraId="494E123F"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58</w:t>
            </w:r>
          </w:p>
        </w:tc>
        <w:tc>
          <w:tcPr>
            <w:tcW w:w="489" w:type="pct"/>
            <w:shd w:val="clear" w:color="auto" w:fill="auto"/>
            <w:vAlign w:val="center"/>
          </w:tcPr>
          <w:p w14:paraId="531EE030"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95.1</w:t>
            </w:r>
          </w:p>
        </w:tc>
      </w:tr>
      <w:tr w:rsidR="009C4D0A" w:rsidRPr="002C31E5" w14:paraId="421AD478" w14:textId="77777777" w:rsidTr="002C31E5">
        <w:trPr>
          <w:trHeight w:val="20"/>
          <w:jc w:val="center"/>
        </w:trPr>
        <w:tc>
          <w:tcPr>
            <w:tcW w:w="1553" w:type="pct"/>
            <w:shd w:val="clear" w:color="auto" w:fill="auto"/>
            <w:vAlign w:val="center"/>
          </w:tcPr>
          <w:p w14:paraId="1CF22E30" w14:textId="77777777" w:rsidR="00D979F4" w:rsidRPr="00C85ED3" w:rsidRDefault="00D979F4" w:rsidP="00C85ED3">
            <w:pPr>
              <w:spacing w:line="192" w:lineRule="auto"/>
              <w:jc w:val="center"/>
              <w:rPr>
                <w:color w:val="000000" w:themeColor="text1"/>
                <w:sz w:val="24"/>
                <w:szCs w:val="24"/>
                <w:rtl/>
                <w:lang w:bidi="ar-EG"/>
              </w:rPr>
            </w:pPr>
            <w:r w:rsidRPr="00C85ED3">
              <w:rPr>
                <w:rFonts w:eastAsiaTheme="minorEastAsia" w:hint="cs"/>
                <w:color w:val="000000" w:themeColor="text1"/>
                <w:sz w:val="24"/>
                <w:szCs w:val="24"/>
                <w:rtl/>
              </w:rPr>
              <w:t>أعضاء هيئة التدريس بالجامعات المصرية</w:t>
            </w:r>
          </w:p>
        </w:tc>
        <w:tc>
          <w:tcPr>
            <w:tcW w:w="875" w:type="pct"/>
            <w:shd w:val="clear" w:color="auto" w:fill="auto"/>
            <w:vAlign w:val="center"/>
          </w:tcPr>
          <w:p w14:paraId="11E2A242"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136</w:t>
            </w:r>
          </w:p>
        </w:tc>
        <w:tc>
          <w:tcPr>
            <w:tcW w:w="599" w:type="pct"/>
            <w:shd w:val="clear" w:color="auto" w:fill="auto"/>
            <w:vAlign w:val="center"/>
          </w:tcPr>
          <w:p w14:paraId="3E778802"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131</w:t>
            </w:r>
          </w:p>
        </w:tc>
        <w:tc>
          <w:tcPr>
            <w:tcW w:w="595" w:type="pct"/>
            <w:vAlign w:val="center"/>
          </w:tcPr>
          <w:p w14:paraId="0AA979E4"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96.3</w:t>
            </w:r>
          </w:p>
        </w:tc>
        <w:tc>
          <w:tcPr>
            <w:tcW w:w="889" w:type="pct"/>
            <w:vAlign w:val="center"/>
          </w:tcPr>
          <w:p w14:paraId="22B5C60B"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127</w:t>
            </w:r>
          </w:p>
        </w:tc>
        <w:tc>
          <w:tcPr>
            <w:tcW w:w="489" w:type="pct"/>
            <w:shd w:val="clear" w:color="auto" w:fill="auto"/>
            <w:vAlign w:val="center"/>
          </w:tcPr>
          <w:p w14:paraId="327B5FE6"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96.9</w:t>
            </w:r>
          </w:p>
        </w:tc>
      </w:tr>
      <w:tr w:rsidR="009C4D0A" w:rsidRPr="002C31E5" w14:paraId="383E719D" w14:textId="77777777" w:rsidTr="002C31E5">
        <w:trPr>
          <w:trHeight w:val="20"/>
          <w:jc w:val="center"/>
        </w:trPr>
        <w:tc>
          <w:tcPr>
            <w:tcW w:w="1553" w:type="pct"/>
            <w:shd w:val="clear" w:color="auto" w:fill="auto"/>
            <w:vAlign w:val="center"/>
          </w:tcPr>
          <w:p w14:paraId="1A55D83D" w14:textId="69A2BD20" w:rsidR="00D979F4" w:rsidRPr="00C85ED3" w:rsidRDefault="00D979F4" w:rsidP="00C85ED3">
            <w:pPr>
              <w:spacing w:line="192" w:lineRule="auto"/>
              <w:jc w:val="center"/>
              <w:rPr>
                <w:color w:val="000000" w:themeColor="text1"/>
                <w:sz w:val="24"/>
                <w:szCs w:val="24"/>
                <w:rtl/>
                <w:lang w:bidi="ar-EG"/>
              </w:rPr>
            </w:pPr>
            <w:r w:rsidRPr="00C85ED3">
              <w:rPr>
                <w:rFonts w:eastAsiaTheme="minorEastAsia" w:hint="cs"/>
                <w:color w:val="000000" w:themeColor="text1"/>
                <w:sz w:val="24"/>
                <w:szCs w:val="24"/>
                <w:rtl/>
              </w:rPr>
              <w:t>الوسطاء الماليين</w:t>
            </w:r>
          </w:p>
        </w:tc>
        <w:tc>
          <w:tcPr>
            <w:tcW w:w="875" w:type="pct"/>
            <w:shd w:val="clear" w:color="auto" w:fill="auto"/>
            <w:vAlign w:val="center"/>
          </w:tcPr>
          <w:p w14:paraId="6A554B10"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29</w:t>
            </w:r>
          </w:p>
        </w:tc>
        <w:tc>
          <w:tcPr>
            <w:tcW w:w="599" w:type="pct"/>
            <w:shd w:val="clear" w:color="auto" w:fill="auto"/>
            <w:vAlign w:val="center"/>
          </w:tcPr>
          <w:p w14:paraId="652D99C6"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27</w:t>
            </w:r>
          </w:p>
        </w:tc>
        <w:tc>
          <w:tcPr>
            <w:tcW w:w="595" w:type="pct"/>
            <w:vAlign w:val="center"/>
          </w:tcPr>
          <w:p w14:paraId="21712F87"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93.1</w:t>
            </w:r>
          </w:p>
        </w:tc>
        <w:tc>
          <w:tcPr>
            <w:tcW w:w="889" w:type="pct"/>
            <w:vAlign w:val="center"/>
          </w:tcPr>
          <w:p w14:paraId="0E39056B"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25</w:t>
            </w:r>
          </w:p>
        </w:tc>
        <w:tc>
          <w:tcPr>
            <w:tcW w:w="489" w:type="pct"/>
            <w:shd w:val="clear" w:color="auto" w:fill="auto"/>
            <w:vAlign w:val="center"/>
          </w:tcPr>
          <w:p w14:paraId="3C919644"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92.6</w:t>
            </w:r>
          </w:p>
        </w:tc>
      </w:tr>
      <w:tr w:rsidR="009C4D0A" w:rsidRPr="002C31E5" w14:paraId="199033D2" w14:textId="77777777" w:rsidTr="002C31E5">
        <w:trPr>
          <w:trHeight w:val="20"/>
          <w:jc w:val="center"/>
        </w:trPr>
        <w:tc>
          <w:tcPr>
            <w:tcW w:w="1553" w:type="pct"/>
            <w:shd w:val="clear" w:color="auto" w:fill="D9D9D9" w:themeFill="background1" w:themeFillShade="D9"/>
            <w:vAlign w:val="center"/>
          </w:tcPr>
          <w:p w14:paraId="4E9975BE" w14:textId="16052639" w:rsidR="00D979F4" w:rsidRPr="00C85ED3" w:rsidRDefault="00D979F4" w:rsidP="00C85ED3">
            <w:pPr>
              <w:tabs>
                <w:tab w:val="left" w:pos="791"/>
              </w:tabs>
              <w:spacing w:line="192" w:lineRule="auto"/>
              <w:jc w:val="center"/>
              <w:rPr>
                <w:color w:val="000000" w:themeColor="text1"/>
                <w:sz w:val="24"/>
                <w:szCs w:val="24"/>
                <w:rtl/>
              </w:rPr>
            </w:pPr>
            <w:r w:rsidRPr="00C85ED3">
              <w:rPr>
                <w:rFonts w:eastAsiaTheme="minorEastAsia" w:hint="cs"/>
                <w:color w:val="000000" w:themeColor="text1"/>
                <w:sz w:val="24"/>
                <w:szCs w:val="24"/>
                <w:rtl/>
              </w:rPr>
              <w:t>مراجعي الحسابات</w:t>
            </w:r>
          </w:p>
        </w:tc>
        <w:tc>
          <w:tcPr>
            <w:tcW w:w="875" w:type="pct"/>
            <w:shd w:val="clear" w:color="auto" w:fill="D9D9D9" w:themeFill="background1" w:themeFillShade="D9"/>
            <w:vAlign w:val="center"/>
          </w:tcPr>
          <w:p w14:paraId="7046CE77"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290</w:t>
            </w:r>
          </w:p>
        </w:tc>
        <w:tc>
          <w:tcPr>
            <w:tcW w:w="599" w:type="pct"/>
            <w:shd w:val="clear" w:color="auto" w:fill="D9D9D9" w:themeFill="background1" w:themeFillShade="D9"/>
            <w:vAlign w:val="center"/>
          </w:tcPr>
          <w:p w14:paraId="676BA044"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273</w:t>
            </w:r>
          </w:p>
        </w:tc>
        <w:tc>
          <w:tcPr>
            <w:tcW w:w="595" w:type="pct"/>
            <w:shd w:val="clear" w:color="auto" w:fill="D9D9D9" w:themeFill="background1" w:themeFillShade="D9"/>
            <w:vAlign w:val="center"/>
          </w:tcPr>
          <w:p w14:paraId="26F0466B"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94.1</w:t>
            </w:r>
          </w:p>
        </w:tc>
        <w:tc>
          <w:tcPr>
            <w:tcW w:w="889" w:type="pct"/>
            <w:shd w:val="clear" w:color="auto" w:fill="D9D9D9" w:themeFill="background1" w:themeFillShade="D9"/>
            <w:vAlign w:val="center"/>
          </w:tcPr>
          <w:p w14:paraId="6ACA380E"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260</w:t>
            </w:r>
          </w:p>
        </w:tc>
        <w:tc>
          <w:tcPr>
            <w:tcW w:w="489" w:type="pct"/>
            <w:shd w:val="clear" w:color="auto" w:fill="D9D9D9" w:themeFill="background1" w:themeFillShade="D9"/>
            <w:vAlign w:val="center"/>
          </w:tcPr>
          <w:p w14:paraId="6AD57256" w14:textId="77777777" w:rsidR="00D979F4" w:rsidRPr="00C85ED3" w:rsidRDefault="00D979F4" w:rsidP="00C85ED3">
            <w:pPr>
              <w:spacing w:line="192" w:lineRule="auto"/>
              <w:jc w:val="center"/>
              <w:rPr>
                <w:rFonts w:eastAsiaTheme="minorEastAsia"/>
                <w:color w:val="000000" w:themeColor="text1"/>
                <w:sz w:val="24"/>
                <w:szCs w:val="24"/>
                <w:rtl/>
              </w:rPr>
            </w:pPr>
            <w:r w:rsidRPr="00C85ED3">
              <w:rPr>
                <w:rFonts w:eastAsiaTheme="minorEastAsia"/>
                <w:color w:val="000000" w:themeColor="text1"/>
                <w:sz w:val="24"/>
                <w:szCs w:val="24"/>
                <w:rtl/>
              </w:rPr>
              <w:t>95.2</w:t>
            </w:r>
          </w:p>
        </w:tc>
      </w:tr>
    </w:tbl>
    <w:p w14:paraId="4C20CC64" w14:textId="77777777" w:rsidR="00D979F4" w:rsidRDefault="00D979F4" w:rsidP="00C24E42">
      <w:pPr>
        <w:ind w:firstLine="720"/>
        <w:jc w:val="lowKashida"/>
        <w:rPr>
          <w:color w:val="000000" w:themeColor="text1"/>
          <w:sz w:val="26"/>
          <w:szCs w:val="26"/>
          <w:rtl/>
          <w:lang w:bidi="ar-EG"/>
        </w:rPr>
      </w:pPr>
      <w:r w:rsidRPr="00E24FBE">
        <w:rPr>
          <w:color w:val="000000" w:themeColor="text1"/>
          <w:sz w:val="26"/>
          <w:szCs w:val="26"/>
          <w:rtl/>
          <w:lang w:bidi="ar-EG"/>
        </w:rPr>
        <w:t xml:space="preserve">يوضح الجدول السابق أن عدد الاستمارات الموزعة </w:t>
      </w:r>
      <w:r w:rsidRPr="00E24FBE">
        <w:rPr>
          <w:rFonts w:hint="cs"/>
          <w:color w:val="000000" w:themeColor="text1"/>
          <w:sz w:val="26"/>
          <w:szCs w:val="26"/>
          <w:rtl/>
          <w:lang w:bidi="ar-EG"/>
        </w:rPr>
        <w:t>290</w:t>
      </w:r>
      <w:r w:rsidRPr="00E24FBE">
        <w:rPr>
          <w:color w:val="000000" w:themeColor="text1"/>
          <w:sz w:val="26"/>
          <w:szCs w:val="26"/>
          <w:rtl/>
          <w:lang w:bidi="ar-EG"/>
        </w:rPr>
        <w:t xml:space="preserve"> وعدد الاستمارات المستلمة </w:t>
      </w:r>
      <w:r w:rsidRPr="00E24FBE">
        <w:rPr>
          <w:rFonts w:hint="cs"/>
          <w:color w:val="000000" w:themeColor="text1"/>
          <w:sz w:val="26"/>
          <w:szCs w:val="26"/>
          <w:rtl/>
          <w:lang w:bidi="ar-EG"/>
        </w:rPr>
        <w:t>273</w:t>
      </w:r>
      <w:r w:rsidRPr="00E24FBE">
        <w:rPr>
          <w:color w:val="000000" w:themeColor="text1"/>
          <w:sz w:val="26"/>
          <w:szCs w:val="26"/>
          <w:rtl/>
          <w:lang w:bidi="ar-EG"/>
        </w:rPr>
        <w:t xml:space="preserve"> وعدد الاستمارات الصالحة للتحليل </w:t>
      </w:r>
      <w:r w:rsidRPr="00E24FBE">
        <w:rPr>
          <w:rFonts w:hint="cs"/>
          <w:color w:val="000000" w:themeColor="text1"/>
          <w:sz w:val="26"/>
          <w:szCs w:val="26"/>
          <w:rtl/>
          <w:lang w:bidi="ar-EG"/>
        </w:rPr>
        <w:t>260</w:t>
      </w:r>
      <w:r w:rsidRPr="00E24FBE">
        <w:rPr>
          <w:color w:val="000000" w:themeColor="text1"/>
          <w:sz w:val="26"/>
          <w:szCs w:val="26"/>
          <w:rtl/>
          <w:lang w:bidi="ar-EG"/>
        </w:rPr>
        <w:t xml:space="preserve"> بنسبة </w:t>
      </w:r>
      <w:r w:rsidRPr="00E24FBE">
        <w:rPr>
          <w:rFonts w:hint="cs"/>
          <w:color w:val="000000" w:themeColor="text1"/>
          <w:sz w:val="26"/>
          <w:szCs w:val="26"/>
          <w:rtl/>
          <w:lang w:bidi="ar-EG"/>
        </w:rPr>
        <w:t>95.2</w:t>
      </w:r>
      <w:r w:rsidRPr="00E24FBE">
        <w:rPr>
          <w:color w:val="000000" w:themeColor="text1"/>
          <w:sz w:val="26"/>
          <w:szCs w:val="26"/>
          <w:rtl/>
          <w:lang w:bidi="ar-EG"/>
        </w:rPr>
        <w:t>% وهي تعتبر نسبة عالية</w:t>
      </w:r>
      <w:r w:rsidRPr="00E24FBE">
        <w:rPr>
          <w:rFonts w:hint="cs"/>
          <w:color w:val="000000" w:themeColor="text1"/>
          <w:sz w:val="26"/>
          <w:szCs w:val="26"/>
          <w:rtl/>
          <w:lang w:bidi="ar-EG"/>
        </w:rPr>
        <w:t xml:space="preserve"> جداً</w:t>
      </w:r>
      <w:r w:rsidRPr="00E24FBE">
        <w:rPr>
          <w:color w:val="000000" w:themeColor="text1"/>
          <w:sz w:val="26"/>
          <w:szCs w:val="26"/>
          <w:rtl/>
          <w:lang w:bidi="ar-EG"/>
        </w:rPr>
        <w:t>.</w:t>
      </w:r>
    </w:p>
    <w:p w14:paraId="50BC76E5" w14:textId="2FA5A380" w:rsidR="00C65B31" w:rsidRPr="00E24FBE" w:rsidRDefault="00C65B31" w:rsidP="00C24E42">
      <w:pPr>
        <w:jc w:val="center"/>
        <w:rPr>
          <w:b/>
          <w:bCs/>
          <w:color w:val="000000" w:themeColor="text1"/>
          <w:sz w:val="26"/>
          <w:szCs w:val="26"/>
          <w:rtl/>
          <w:lang w:bidi="ar-EG"/>
        </w:rPr>
      </w:pPr>
      <w:r w:rsidRPr="00E24FBE">
        <w:rPr>
          <w:rFonts w:hint="cs"/>
          <w:b/>
          <w:bCs/>
          <w:color w:val="000000" w:themeColor="text1"/>
          <w:sz w:val="26"/>
          <w:szCs w:val="26"/>
          <w:rtl/>
        </w:rPr>
        <w:t>جدول (2</w:t>
      </w:r>
      <w:r w:rsidRPr="00E24FBE">
        <w:rPr>
          <w:b/>
          <w:bCs/>
          <w:color w:val="000000" w:themeColor="text1"/>
          <w:sz w:val="26"/>
          <w:szCs w:val="26"/>
          <w:rtl/>
        </w:rPr>
        <w:t>)</w:t>
      </w:r>
      <w:r w:rsidR="00CE6DCD">
        <w:rPr>
          <w:rFonts w:hint="cs"/>
          <w:b/>
          <w:bCs/>
          <w:color w:val="000000" w:themeColor="text1"/>
          <w:sz w:val="26"/>
          <w:szCs w:val="26"/>
          <w:rtl/>
          <w:lang w:bidi="ar-EG"/>
        </w:rPr>
        <w:t>:</w:t>
      </w:r>
      <w:r w:rsidRPr="00E24FBE">
        <w:rPr>
          <w:rFonts w:hint="cs"/>
          <w:b/>
          <w:bCs/>
          <w:color w:val="000000" w:themeColor="text1"/>
          <w:sz w:val="26"/>
          <w:szCs w:val="26"/>
          <w:rtl/>
          <w:lang w:bidi="ar-EG"/>
        </w:rPr>
        <w:t xml:space="preserve"> مدى</w:t>
      </w:r>
      <w:r w:rsidRPr="00E24FBE">
        <w:rPr>
          <w:b/>
          <w:bCs/>
          <w:color w:val="000000" w:themeColor="text1"/>
          <w:sz w:val="26"/>
          <w:szCs w:val="26"/>
          <w:rtl/>
          <w:lang w:bidi="ar-EG"/>
        </w:rPr>
        <w:t xml:space="preserve"> الثبات والصدق</w:t>
      </w:r>
      <w:r w:rsidRPr="00E24FBE">
        <w:rPr>
          <w:rFonts w:hint="cs"/>
          <w:b/>
          <w:bCs/>
          <w:color w:val="000000" w:themeColor="text1"/>
          <w:sz w:val="26"/>
          <w:szCs w:val="26"/>
          <w:rtl/>
          <w:lang w:bidi="ar-EG"/>
        </w:rPr>
        <w:t xml:space="preserve"> لقائمة الاستقصاء</w:t>
      </w:r>
      <w:r w:rsidRPr="00E24FBE">
        <w:rPr>
          <w:b/>
          <w:bCs/>
          <w:color w:val="000000" w:themeColor="text1"/>
          <w:sz w:val="26"/>
          <w:szCs w:val="26"/>
          <w:rtl/>
          <w:lang w:bidi="ar-EG"/>
        </w:rPr>
        <w:t xml:space="preserve"> (اختبار ألفا </w:t>
      </w:r>
      <w:proofErr w:type="spellStart"/>
      <w:r w:rsidRPr="00E24FBE">
        <w:rPr>
          <w:b/>
          <w:bCs/>
          <w:color w:val="000000" w:themeColor="text1"/>
          <w:sz w:val="26"/>
          <w:szCs w:val="26"/>
          <w:rtl/>
          <w:lang w:bidi="ar-EG"/>
        </w:rPr>
        <w:t>كرونباخ</w:t>
      </w:r>
      <w:proofErr w:type="spellEnd"/>
      <w:r w:rsidRPr="00E24FBE">
        <w:rPr>
          <w:b/>
          <w:bCs/>
          <w:color w:val="000000" w:themeColor="text1"/>
          <w:sz w:val="26"/>
          <w:szCs w:val="26"/>
          <w:rtl/>
          <w:lang w:bidi="ar-EG"/>
        </w:rPr>
        <w:t>)</w:t>
      </w:r>
    </w:p>
    <w:tbl>
      <w:tblPr>
        <w:bidiVisual/>
        <w:tblW w:w="5157"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06"/>
        <w:gridCol w:w="729"/>
        <w:gridCol w:w="798"/>
        <w:gridCol w:w="756"/>
      </w:tblGrid>
      <w:tr w:rsidR="009C4D0A" w:rsidRPr="00C85ED3" w14:paraId="1AA2F949" w14:textId="77777777" w:rsidTr="00C85ED3">
        <w:trPr>
          <w:tblHeader/>
          <w:jc w:val="center"/>
        </w:trPr>
        <w:tc>
          <w:tcPr>
            <w:tcW w:w="3716" w:type="pct"/>
            <w:shd w:val="thinDiagCross" w:color="D9D9D9" w:themeColor="background1" w:themeShade="D9" w:fill="FFFFFF" w:themeFill="background1"/>
            <w:vAlign w:val="center"/>
          </w:tcPr>
          <w:p w14:paraId="2AD64C37" w14:textId="77777777" w:rsidR="004065F4" w:rsidRPr="00C85ED3" w:rsidRDefault="004065F4" w:rsidP="00C85ED3">
            <w:pPr>
              <w:spacing w:line="192" w:lineRule="auto"/>
              <w:jc w:val="center"/>
              <w:rPr>
                <w:b/>
                <w:bCs/>
                <w:color w:val="000000" w:themeColor="text1"/>
                <w:sz w:val="24"/>
                <w:szCs w:val="24"/>
                <w:rtl/>
              </w:rPr>
            </w:pPr>
            <w:r w:rsidRPr="00C85ED3">
              <w:rPr>
                <w:b/>
                <w:bCs/>
                <w:color w:val="000000" w:themeColor="text1"/>
                <w:sz w:val="24"/>
                <w:szCs w:val="24"/>
                <w:rtl/>
              </w:rPr>
              <w:t>مجموعات (محاور) الدراسة</w:t>
            </w:r>
          </w:p>
        </w:tc>
        <w:tc>
          <w:tcPr>
            <w:tcW w:w="410" w:type="pct"/>
            <w:shd w:val="thinDiagCross" w:color="D9D9D9" w:themeColor="background1" w:themeShade="D9" w:fill="FFFFFF" w:themeFill="background1"/>
            <w:vAlign w:val="center"/>
          </w:tcPr>
          <w:p w14:paraId="7A369459" w14:textId="77777777" w:rsidR="004065F4" w:rsidRPr="00C85ED3" w:rsidRDefault="004065F4" w:rsidP="00C85ED3">
            <w:pPr>
              <w:spacing w:line="192" w:lineRule="auto"/>
              <w:jc w:val="center"/>
              <w:rPr>
                <w:b/>
                <w:bCs/>
                <w:color w:val="000000" w:themeColor="text1"/>
                <w:sz w:val="24"/>
                <w:szCs w:val="24"/>
                <w:rtl/>
              </w:rPr>
            </w:pPr>
            <w:r w:rsidRPr="00C85ED3">
              <w:rPr>
                <w:b/>
                <w:bCs/>
                <w:color w:val="000000" w:themeColor="text1"/>
                <w:sz w:val="24"/>
                <w:szCs w:val="24"/>
                <w:rtl/>
              </w:rPr>
              <w:t>عدد الفقرات</w:t>
            </w:r>
          </w:p>
        </w:tc>
        <w:tc>
          <w:tcPr>
            <w:tcW w:w="449" w:type="pct"/>
            <w:shd w:val="thinDiagCross" w:color="D9D9D9" w:themeColor="background1" w:themeShade="D9" w:fill="FFFFFF" w:themeFill="background1"/>
            <w:vAlign w:val="center"/>
          </w:tcPr>
          <w:p w14:paraId="1AE60748" w14:textId="77777777" w:rsidR="004065F4" w:rsidRPr="00C85ED3" w:rsidRDefault="004065F4" w:rsidP="00C85ED3">
            <w:pPr>
              <w:spacing w:line="192" w:lineRule="auto"/>
              <w:jc w:val="center"/>
              <w:rPr>
                <w:b/>
                <w:bCs/>
                <w:color w:val="000000" w:themeColor="text1"/>
                <w:sz w:val="24"/>
                <w:szCs w:val="24"/>
                <w:rtl/>
              </w:rPr>
            </w:pPr>
            <w:r w:rsidRPr="00C85ED3">
              <w:rPr>
                <w:b/>
                <w:bCs/>
                <w:color w:val="000000" w:themeColor="text1"/>
                <w:sz w:val="24"/>
                <w:szCs w:val="24"/>
                <w:rtl/>
              </w:rPr>
              <w:t>معامل الثبات</w:t>
            </w:r>
          </w:p>
        </w:tc>
        <w:tc>
          <w:tcPr>
            <w:tcW w:w="425" w:type="pct"/>
            <w:shd w:val="thinDiagCross" w:color="D9D9D9" w:themeColor="background1" w:themeShade="D9" w:fill="FFFFFF" w:themeFill="background1"/>
            <w:vAlign w:val="center"/>
          </w:tcPr>
          <w:p w14:paraId="05B20CD5" w14:textId="77777777" w:rsidR="004065F4" w:rsidRPr="00C85ED3" w:rsidRDefault="004065F4" w:rsidP="00C85ED3">
            <w:pPr>
              <w:spacing w:line="192" w:lineRule="auto"/>
              <w:jc w:val="center"/>
              <w:rPr>
                <w:b/>
                <w:bCs/>
                <w:color w:val="000000" w:themeColor="text1"/>
                <w:sz w:val="24"/>
                <w:szCs w:val="24"/>
                <w:rtl/>
              </w:rPr>
            </w:pPr>
            <w:r w:rsidRPr="00C85ED3">
              <w:rPr>
                <w:b/>
                <w:bCs/>
                <w:color w:val="000000" w:themeColor="text1"/>
                <w:sz w:val="24"/>
                <w:szCs w:val="24"/>
                <w:rtl/>
              </w:rPr>
              <w:t>معامل الصدق</w:t>
            </w:r>
          </w:p>
        </w:tc>
      </w:tr>
      <w:tr w:rsidR="009C4D0A" w:rsidRPr="00C85ED3" w14:paraId="5EEBFE26" w14:textId="77777777" w:rsidTr="00C85ED3">
        <w:trPr>
          <w:jc w:val="center"/>
        </w:trPr>
        <w:tc>
          <w:tcPr>
            <w:tcW w:w="3716" w:type="pct"/>
            <w:shd w:val="clear" w:color="auto" w:fill="auto"/>
          </w:tcPr>
          <w:p w14:paraId="794217F1" w14:textId="77777777" w:rsidR="004065F4" w:rsidRPr="00C85ED3" w:rsidRDefault="004065F4" w:rsidP="00C85ED3">
            <w:pPr>
              <w:spacing w:line="192" w:lineRule="auto"/>
              <w:jc w:val="lowKashida"/>
              <w:rPr>
                <w:noProof/>
                <w:color w:val="000000" w:themeColor="text1"/>
                <w:sz w:val="24"/>
                <w:szCs w:val="24"/>
                <w:rtl/>
              </w:rPr>
            </w:pPr>
            <w:bookmarkStart w:id="8" w:name="_Hlk143033115"/>
            <w:r w:rsidRPr="00C85ED3">
              <w:rPr>
                <w:noProof/>
                <w:color w:val="000000" w:themeColor="text1"/>
                <w:sz w:val="24"/>
                <w:szCs w:val="24"/>
                <w:rtl/>
              </w:rPr>
              <w:t>المجموعة الأولى (المحور الأول):</w:t>
            </w:r>
          </w:p>
          <w:p w14:paraId="779D821E" w14:textId="77777777" w:rsidR="004065F4" w:rsidRPr="00C85ED3" w:rsidRDefault="004065F4" w:rsidP="00C85ED3">
            <w:pPr>
              <w:spacing w:line="192" w:lineRule="auto"/>
              <w:jc w:val="lowKashida"/>
              <w:rPr>
                <w:noProof/>
                <w:color w:val="000000" w:themeColor="text1"/>
                <w:sz w:val="24"/>
                <w:szCs w:val="24"/>
                <w:rtl/>
              </w:rPr>
            </w:pPr>
            <w:r w:rsidRPr="00C85ED3">
              <w:rPr>
                <w:noProof/>
                <w:color w:val="000000" w:themeColor="text1"/>
                <w:sz w:val="24"/>
                <w:szCs w:val="24"/>
                <w:rtl/>
              </w:rPr>
              <w:t xml:space="preserve"> ‏"توجد علاقة معنوية ذات دلالة إحصائية بين ‏الإفصاح المحاسبي عن الدخل الشامل وكفاءة سوق الأوراق المالية".  </w:t>
            </w:r>
          </w:p>
        </w:tc>
        <w:tc>
          <w:tcPr>
            <w:tcW w:w="410" w:type="pct"/>
            <w:shd w:val="clear" w:color="auto" w:fill="auto"/>
            <w:vAlign w:val="center"/>
          </w:tcPr>
          <w:p w14:paraId="7095A59E"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15</w:t>
            </w:r>
          </w:p>
        </w:tc>
        <w:tc>
          <w:tcPr>
            <w:tcW w:w="449" w:type="pct"/>
            <w:shd w:val="clear" w:color="auto" w:fill="auto"/>
            <w:vAlign w:val="center"/>
          </w:tcPr>
          <w:p w14:paraId="37FF8DD1"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0.925</w:t>
            </w:r>
          </w:p>
        </w:tc>
        <w:tc>
          <w:tcPr>
            <w:tcW w:w="425" w:type="pct"/>
            <w:shd w:val="clear" w:color="auto" w:fill="auto"/>
            <w:vAlign w:val="center"/>
          </w:tcPr>
          <w:p w14:paraId="61F068A9"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0.962</w:t>
            </w:r>
          </w:p>
        </w:tc>
      </w:tr>
      <w:tr w:rsidR="009C4D0A" w:rsidRPr="00C85ED3" w14:paraId="053682E2" w14:textId="77777777" w:rsidTr="00C85ED3">
        <w:trPr>
          <w:jc w:val="center"/>
        </w:trPr>
        <w:tc>
          <w:tcPr>
            <w:tcW w:w="3716" w:type="pct"/>
            <w:shd w:val="clear" w:color="auto" w:fill="auto"/>
          </w:tcPr>
          <w:p w14:paraId="1E81E115" w14:textId="77777777" w:rsidR="004065F4" w:rsidRPr="00C85ED3" w:rsidRDefault="004065F4" w:rsidP="00C85ED3">
            <w:pPr>
              <w:spacing w:line="192" w:lineRule="auto"/>
              <w:jc w:val="lowKashida"/>
              <w:rPr>
                <w:noProof/>
                <w:color w:val="000000" w:themeColor="text1"/>
                <w:spacing w:val="-6"/>
                <w:sz w:val="24"/>
                <w:szCs w:val="24"/>
                <w:rtl/>
              </w:rPr>
            </w:pPr>
            <w:r w:rsidRPr="00C85ED3">
              <w:rPr>
                <w:noProof/>
                <w:color w:val="000000" w:themeColor="text1"/>
                <w:spacing w:val="-6"/>
                <w:sz w:val="24"/>
                <w:szCs w:val="24"/>
                <w:rtl/>
              </w:rPr>
              <w:t>المجموعة الثانية (المحور الثاني):</w:t>
            </w:r>
          </w:p>
          <w:p w14:paraId="77A49DF8" w14:textId="77777777" w:rsidR="004065F4" w:rsidRPr="00C85ED3" w:rsidRDefault="004065F4" w:rsidP="00C85ED3">
            <w:pPr>
              <w:spacing w:line="192" w:lineRule="auto"/>
              <w:jc w:val="lowKashida"/>
              <w:rPr>
                <w:noProof/>
                <w:color w:val="000000" w:themeColor="text1"/>
                <w:spacing w:val="-6"/>
                <w:sz w:val="24"/>
                <w:szCs w:val="24"/>
                <w:rtl/>
              </w:rPr>
            </w:pPr>
            <w:r w:rsidRPr="00C85ED3">
              <w:rPr>
                <w:rFonts w:hint="cs"/>
                <w:noProof/>
                <w:color w:val="000000" w:themeColor="text1"/>
                <w:spacing w:val="-6"/>
                <w:sz w:val="24"/>
                <w:szCs w:val="24"/>
                <w:rtl/>
              </w:rPr>
              <w:t xml:space="preserve"> </w:t>
            </w:r>
            <w:r w:rsidRPr="00C85ED3">
              <w:rPr>
                <w:noProof/>
                <w:color w:val="000000" w:themeColor="text1"/>
                <w:spacing w:val="-6"/>
                <w:sz w:val="24"/>
                <w:szCs w:val="24"/>
                <w:rtl/>
              </w:rPr>
              <w:t>"توجد علاقة معنوية ذات دلالة إحصائية بين ‏الإفصاح المحاسبي عن المكاسب والخسائر الناتجة عن إعادة تقييم الأصول المالية المتاحة للبيع وسلوك ‏أسعار الأسهم".‏</w:t>
            </w:r>
          </w:p>
        </w:tc>
        <w:tc>
          <w:tcPr>
            <w:tcW w:w="410" w:type="pct"/>
            <w:shd w:val="clear" w:color="auto" w:fill="auto"/>
            <w:vAlign w:val="center"/>
          </w:tcPr>
          <w:p w14:paraId="014D2DE8"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5</w:t>
            </w:r>
          </w:p>
        </w:tc>
        <w:tc>
          <w:tcPr>
            <w:tcW w:w="449" w:type="pct"/>
            <w:shd w:val="clear" w:color="auto" w:fill="auto"/>
            <w:vAlign w:val="center"/>
          </w:tcPr>
          <w:p w14:paraId="08E6C5AC"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0.841</w:t>
            </w:r>
          </w:p>
        </w:tc>
        <w:tc>
          <w:tcPr>
            <w:tcW w:w="425" w:type="pct"/>
            <w:shd w:val="clear" w:color="auto" w:fill="auto"/>
            <w:vAlign w:val="center"/>
          </w:tcPr>
          <w:p w14:paraId="183A074B"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0.917</w:t>
            </w:r>
          </w:p>
        </w:tc>
      </w:tr>
      <w:tr w:rsidR="009C4D0A" w:rsidRPr="00C85ED3" w14:paraId="58E2E731" w14:textId="77777777" w:rsidTr="00C85ED3">
        <w:trPr>
          <w:jc w:val="center"/>
        </w:trPr>
        <w:tc>
          <w:tcPr>
            <w:tcW w:w="3716" w:type="pct"/>
            <w:shd w:val="clear" w:color="auto" w:fill="auto"/>
          </w:tcPr>
          <w:p w14:paraId="1747BD88" w14:textId="77777777" w:rsidR="004065F4" w:rsidRPr="00C85ED3" w:rsidRDefault="004065F4" w:rsidP="00C85ED3">
            <w:pPr>
              <w:spacing w:line="192" w:lineRule="auto"/>
              <w:jc w:val="lowKashida"/>
              <w:rPr>
                <w:noProof/>
                <w:color w:val="000000" w:themeColor="text1"/>
                <w:sz w:val="24"/>
                <w:szCs w:val="24"/>
                <w:rtl/>
              </w:rPr>
            </w:pPr>
            <w:r w:rsidRPr="00C85ED3">
              <w:rPr>
                <w:noProof/>
                <w:color w:val="000000" w:themeColor="text1"/>
                <w:sz w:val="24"/>
                <w:szCs w:val="24"/>
                <w:rtl/>
              </w:rPr>
              <w:t xml:space="preserve">المجموعة الثالثة (المحور الثالث): ‏ </w:t>
            </w:r>
          </w:p>
          <w:p w14:paraId="363EC6B0" w14:textId="77777777" w:rsidR="004065F4" w:rsidRPr="00C85ED3" w:rsidRDefault="004065F4" w:rsidP="00C85ED3">
            <w:pPr>
              <w:spacing w:line="192" w:lineRule="auto"/>
              <w:jc w:val="lowKashida"/>
              <w:rPr>
                <w:noProof/>
                <w:color w:val="000000" w:themeColor="text1"/>
                <w:sz w:val="24"/>
                <w:szCs w:val="24"/>
                <w:rtl/>
              </w:rPr>
            </w:pPr>
            <w:r w:rsidRPr="00C85ED3">
              <w:rPr>
                <w:noProof/>
                <w:color w:val="000000" w:themeColor="text1"/>
                <w:sz w:val="24"/>
                <w:szCs w:val="24"/>
                <w:rtl/>
              </w:rPr>
              <w:t>"توجد علاقة معنوية ذات دلالة إحصائية بين ‏الإفصاح المحاسبي عن الجزء الفعال من المكاسب والخسائر على أدوات التغطية المستخدمة في تحوط ‏التدفقات النقدية وسلوك أسعار الأسهم".‏</w:t>
            </w:r>
          </w:p>
        </w:tc>
        <w:tc>
          <w:tcPr>
            <w:tcW w:w="410" w:type="pct"/>
            <w:shd w:val="clear" w:color="auto" w:fill="auto"/>
            <w:vAlign w:val="center"/>
          </w:tcPr>
          <w:p w14:paraId="21591994"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4</w:t>
            </w:r>
          </w:p>
        </w:tc>
        <w:tc>
          <w:tcPr>
            <w:tcW w:w="449" w:type="pct"/>
            <w:shd w:val="clear" w:color="auto" w:fill="auto"/>
            <w:vAlign w:val="center"/>
          </w:tcPr>
          <w:p w14:paraId="7237176F"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0.866</w:t>
            </w:r>
          </w:p>
        </w:tc>
        <w:tc>
          <w:tcPr>
            <w:tcW w:w="425" w:type="pct"/>
            <w:shd w:val="clear" w:color="auto" w:fill="auto"/>
            <w:vAlign w:val="center"/>
          </w:tcPr>
          <w:p w14:paraId="468AE0E7"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0.931</w:t>
            </w:r>
          </w:p>
        </w:tc>
      </w:tr>
      <w:tr w:rsidR="009C4D0A" w:rsidRPr="00C85ED3" w14:paraId="63C45A02" w14:textId="77777777" w:rsidTr="00C85ED3">
        <w:trPr>
          <w:jc w:val="center"/>
        </w:trPr>
        <w:tc>
          <w:tcPr>
            <w:tcW w:w="3716" w:type="pct"/>
            <w:shd w:val="clear" w:color="auto" w:fill="auto"/>
          </w:tcPr>
          <w:p w14:paraId="13CC2483" w14:textId="77777777" w:rsidR="004065F4" w:rsidRPr="00C85ED3" w:rsidRDefault="004065F4" w:rsidP="00C85ED3">
            <w:pPr>
              <w:spacing w:line="192" w:lineRule="auto"/>
              <w:jc w:val="lowKashida"/>
              <w:rPr>
                <w:noProof/>
                <w:color w:val="000000" w:themeColor="text1"/>
                <w:sz w:val="24"/>
                <w:szCs w:val="24"/>
                <w:rtl/>
              </w:rPr>
            </w:pPr>
            <w:r w:rsidRPr="00C85ED3">
              <w:rPr>
                <w:noProof/>
                <w:color w:val="000000" w:themeColor="text1"/>
                <w:sz w:val="24"/>
                <w:szCs w:val="24"/>
                <w:rtl/>
              </w:rPr>
              <w:t>المجموعة الرابعة (المحور الرابع): ‏</w:t>
            </w:r>
          </w:p>
          <w:p w14:paraId="19A163AC" w14:textId="77777777" w:rsidR="004065F4" w:rsidRPr="00C85ED3" w:rsidRDefault="004065F4" w:rsidP="00C85ED3">
            <w:pPr>
              <w:spacing w:line="192" w:lineRule="auto"/>
              <w:jc w:val="lowKashida"/>
              <w:rPr>
                <w:noProof/>
                <w:color w:val="000000" w:themeColor="text1"/>
                <w:sz w:val="24"/>
                <w:szCs w:val="24"/>
                <w:rtl/>
              </w:rPr>
            </w:pPr>
            <w:r w:rsidRPr="00C85ED3">
              <w:rPr>
                <w:noProof/>
                <w:color w:val="000000" w:themeColor="text1"/>
                <w:sz w:val="24"/>
                <w:szCs w:val="24"/>
                <w:rtl/>
              </w:rPr>
              <w:t>"توجد علاقة معنوية ذات دلالة إحصائية بين ‏الإفصاح المحاسبي عن المكاسب والخسائر الناتجة عن تسويات ترجمة العملات الأجنبية وسلوك ‏أسعار الأسهم".‏</w:t>
            </w:r>
          </w:p>
        </w:tc>
        <w:tc>
          <w:tcPr>
            <w:tcW w:w="410" w:type="pct"/>
            <w:shd w:val="clear" w:color="auto" w:fill="auto"/>
            <w:vAlign w:val="center"/>
          </w:tcPr>
          <w:p w14:paraId="5F798C28"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6</w:t>
            </w:r>
          </w:p>
        </w:tc>
        <w:tc>
          <w:tcPr>
            <w:tcW w:w="449" w:type="pct"/>
            <w:shd w:val="clear" w:color="auto" w:fill="auto"/>
            <w:vAlign w:val="center"/>
          </w:tcPr>
          <w:p w14:paraId="5502D018"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0.841</w:t>
            </w:r>
          </w:p>
        </w:tc>
        <w:tc>
          <w:tcPr>
            <w:tcW w:w="425" w:type="pct"/>
            <w:shd w:val="clear" w:color="auto" w:fill="auto"/>
            <w:vAlign w:val="center"/>
          </w:tcPr>
          <w:p w14:paraId="67F60255"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0.917</w:t>
            </w:r>
          </w:p>
        </w:tc>
      </w:tr>
      <w:tr w:rsidR="009C4D0A" w:rsidRPr="00C85ED3" w14:paraId="1C85CDA6" w14:textId="77777777" w:rsidTr="00C85ED3">
        <w:trPr>
          <w:jc w:val="center"/>
        </w:trPr>
        <w:tc>
          <w:tcPr>
            <w:tcW w:w="3716" w:type="pct"/>
            <w:shd w:val="clear" w:color="auto" w:fill="auto"/>
          </w:tcPr>
          <w:p w14:paraId="7EBDE47A" w14:textId="77777777" w:rsidR="004065F4" w:rsidRPr="00C85ED3" w:rsidRDefault="004065F4" w:rsidP="00C85ED3">
            <w:pPr>
              <w:spacing w:line="192" w:lineRule="auto"/>
              <w:jc w:val="lowKashida"/>
              <w:rPr>
                <w:noProof/>
                <w:color w:val="000000" w:themeColor="text1"/>
                <w:spacing w:val="-6"/>
                <w:sz w:val="24"/>
                <w:szCs w:val="24"/>
                <w:rtl/>
              </w:rPr>
            </w:pPr>
            <w:r w:rsidRPr="00C85ED3">
              <w:rPr>
                <w:noProof/>
                <w:color w:val="000000" w:themeColor="text1"/>
                <w:spacing w:val="-6"/>
                <w:sz w:val="24"/>
                <w:szCs w:val="24"/>
                <w:rtl/>
              </w:rPr>
              <w:t>المجموعة الخامسة (المحور الخامس):</w:t>
            </w:r>
          </w:p>
          <w:p w14:paraId="55F30FC9" w14:textId="77777777" w:rsidR="004065F4" w:rsidRPr="00C85ED3" w:rsidRDefault="004065F4" w:rsidP="00C85ED3">
            <w:pPr>
              <w:spacing w:line="192" w:lineRule="auto"/>
              <w:jc w:val="mediumKashida"/>
              <w:rPr>
                <w:noProof/>
                <w:color w:val="000000" w:themeColor="text1"/>
                <w:spacing w:val="-6"/>
                <w:sz w:val="24"/>
                <w:szCs w:val="24"/>
                <w:rtl/>
              </w:rPr>
            </w:pPr>
            <w:r w:rsidRPr="00C85ED3">
              <w:rPr>
                <w:noProof/>
                <w:color w:val="000000" w:themeColor="text1"/>
                <w:spacing w:val="-6"/>
                <w:sz w:val="24"/>
                <w:szCs w:val="24"/>
                <w:rtl/>
              </w:rPr>
              <w:t xml:space="preserve"> ‏"توجد علاقة معنوية ذات دلالة إحصائية بين ‏الإفصاح المحاسبي عن المكاسب والخسائر الإكتوارية على خطط منافع الموظفين وسلوك أسعار ‏الأسهم".‏</w:t>
            </w:r>
          </w:p>
        </w:tc>
        <w:tc>
          <w:tcPr>
            <w:tcW w:w="410" w:type="pct"/>
            <w:shd w:val="clear" w:color="auto" w:fill="auto"/>
            <w:vAlign w:val="center"/>
          </w:tcPr>
          <w:p w14:paraId="68B16869"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4</w:t>
            </w:r>
          </w:p>
        </w:tc>
        <w:tc>
          <w:tcPr>
            <w:tcW w:w="449" w:type="pct"/>
            <w:shd w:val="clear" w:color="auto" w:fill="auto"/>
            <w:vAlign w:val="center"/>
          </w:tcPr>
          <w:p w14:paraId="78FF6E8A"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0.838</w:t>
            </w:r>
          </w:p>
        </w:tc>
        <w:tc>
          <w:tcPr>
            <w:tcW w:w="425" w:type="pct"/>
            <w:shd w:val="clear" w:color="auto" w:fill="auto"/>
            <w:vAlign w:val="center"/>
          </w:tcPr>
          <w:p w14:paraId="7A40A1A2"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0.915</w:t>
            </w:r>
          </w:p>
        </w:tc>
      </w:tr>
      <w:tr w:rsidR="009C4D0A" w:rsidRPr="00C85ED3" w14:paraId="7A3AE449" w14:textId="77777777" w:rsidTr="00C85ED3">
        <w:trPr>
          <w:jc w:val="center"/>
        </w:trPr>
        <w:tc>
          <w:tcPr>
            <w:tcW w:w="3716" w:type="pct"/>
            <w:shd w:val="clear" w:color="auto" w:fill="auto"/>
          </w:tcPr>
          <w:p w14:paraId="542F0E47" w14:textId="77777777" w:rsidR="004065F4" w:rsidRPr="00C85ED3" w:rsidRDefault="004065F4" w:rsidP="00C85ED3">
            <w:pPr>
              <w:spacing w:line="192" w:lineRule="auto"/>
              <w:jc w:val="lowKashida"/>
              <w:rPr>
                <w:noProof/>
                <w:color w:val="000000" w:themeColor="text1"/>
                <w:spacing w:val="-6"/>
                <w:sz w:val="24"/>
                <w:szCs w:val="24"/>
                <w:rtl/>
              </w:rPr>
            </w:pPr>
            <w:r w:rsidRPr="00C85ED3">
              <w:rPr>
                <w:noProof/>
                <w:color w:val="000000" w:themeColor="text1"/>
                <w:spacing w:val="-6"/>
                <w:sz w:val="24"/>
                <w:szCs w:val="24"/>
                <w:rtl/>
              </w:rPr>
              <w:t>المجموعة السادسة (المحور السادس): ‏</w:t>
            </w:r>
          </w:p>
          <w:p w14:paraId="2C43A3BE" w14:textId="77777777" w:rsidR="004065F4" w:rsidRPr="00C85ED3" w:rsidRDefault="004065F4" w:rsidP="00C85ED3">
            <w:pPr>
              <w:spacing w:line="192" w:lineRule="auto"/>
              <w:jc w:val="mediumKashida"/>
              <w:rPr>
                <w:noProof/>
                <w:color w:val="000000" w:themeColor="text1"/>
                <w:spacing w:val="-6"/>
                <w:sz w:val="24"/>
                <w:szCs w:val="24"/>
                <w:rtl/>
              </w:rPr>
            </w:pPr>
            <w:r w:rsidRPr="00C85ED3">
              <w:rPr>
                <w:noProof/>
                <w:color w:val="000000" w:themeColor="text1"/>
                <w:spacing w:val="-6"/>
                <w:sz w:val="24"/>
                <w:szCs w:val="24"/>
                <w:rtl/>
              </w:rPr>
              <w:t>"توجد علاقة معنوية ذات دلالة إحصائية بين ‏الإفصاح المحاسبي عن التغيرات في فائض إعادة التقييم للأصول الثابتة والأصول غير الملموسة ‏وسلوك أسعار الأسهم". ‏</w:t>
            </w:r>
          </w:p>
        </w:tc>
        <w:tc>
          <w:tcPr>
            <w:tcW w:w="410" w:type="pct"/>
            <w:shd w:val="clear" w:color="auto" w:fill="auto"/>
            <w:vAlign w:val="center"/>
          </w:tcPr>
          <w:p w14:paraId="39ED83B8"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6</w:t>
            </w:r>
          </w:p>
        </w:tc>
        <w:tc>
          <w:tcPr>
            <w:tcW w:w="449" w:type="pct"/>
            <w:shd w:val="clear" w:color="auto" w:fill="auto"/>
            <w:vAlign w:val="center"/>
          </w:tcPr>
          <w:p w14:paraId="67E2FF8F"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0.79</w:t>
            </w:r>
          </w:p>
        </w:tc>
        <w:tc>
          <w:tcPr>
            <w:tcW w:w="425" w:type="pct"/>
            <w:shd w:val="clear" w:color="auto" w:fill="auto"/>
            <w:vAlign w:val="center"/>
          </w:tcPr>
          <w:p w14:paraId="0A73095D"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0.889</w:t>
            </w:r>
          </w:p>
        </w:tc>
      </w:tr>
      <w:bookmarkEnd w:id="8"/>
      <w:tr w:rsidR="009C4D0A" w:rsidRPr="00C85ED3" w14:paraId="2F20A532" w14:textId="77777777" w:rsidTr="00C85ED3">
        <w:trPr>
          <w:jc w:val="center"/>
        </w:trPr>
        <w:tc>
          <w:tcPr>
            <w:tcW w:w="3716" w:type="pct"/>
            <w:shd w:val="clear" w:color="auto" w:fill="D9D9D9" w:themeFill="background1" w:themeFillShade="D9"/>
            <w:vAlign w:val="center"/>
          </w:tcPr>
          <w:p w14:paraId="4054CADE" w14:textId="77777777" w:rsidR="004065F4" w:rsidRPr="00C85ED3" w:rsidRDefault="004065F4" w:rsidP="00C85ED3">
            <w:pPr>
              <w:spacing w:line="192" w:lineRule="auto"/>
              <w:jc w:val="lowKashida"/>
              <w:rPr>
                <w:color w:val="000000" w:themeColor="text1"/>
                <w:sz w:val="24"/>
                <w:szCs w:val="24"/>
                <w:rtl/>
              </w:rPr>
            </w:pPr>
            <w:r w:rsidRPr="00C85ED3">
              <w:rPr>
                <w:color w:val="000000" w:themeColor="text1"/>
                <w:sz w:val="24"/>
                <w:szCs w:val="24"/>
                <w:rtl/>
              </w:rPr>
              <w:t>اجمالي قائمة الاستقصاء (اجمالي المحاور)</w:t>
            </w:r>
          </w:p>
        </w:tc>
        <w:tc>
          <w:tcPr>
            <w:tcW w:w="410" w:type="pct"/>
            <w:shd w:val="clear" w:color="auto" w:fill="D9D9D9" w:themeFill="background1" w:themeFillShade="D9"/>
            <w:vAlign w:val="center"/>
          </w:tcPr>
          <w:p w14:paraId="0FF7745A"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40</w:t>
            </w:r>
          </w:p>
        </w:tc>
        <w:tc>
          <w:tcPr>
            <w:tcW w:w="449" w:type="pct"/>
            <w:shd w:val="clear" w:color="auto" w:fill="D9D9D9" w:themeFill="background1" w:themeFillShade="D9"/>
            <w:vAlign w:val="center"/>
          </w:tcPr>
          <w:p w14:paraId="23376209"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0.952</w:t>
            </w:r>
          </w:p>
        </w:tc>
        <w:tc>
          <w:tcPr>
            <w:tcW w:w="425" w:type="pct"/>
            <w:shd w:val="clear" w:color="auto" w:fill="D9D9D9" w:themeFill="background1" w:themeFillShade="D9"/>
            <w:vAlign w:val="center"/>
          </w:tcPr>
          <w:p w14:paraId="1EB8B5BC" w14:textId="77777777" w:rsidR="004065F4" w:rsidRPr="00C85ED3" w:rsidRDefault="004065F4" w:rsidP="00C85ED3">
            <w:pPr>
              <w:bidi w:val="0"/>
              <w:spacing w:line="192" w:lineRule="auto"/>
              <w:jc w:val="center"/>
              <w:rPr>
                <w:color w:val="000000" w:themeColor="text1"/>
                <w:sz w:val="24"/>
                <w:szCs w:val="24"/>
                <w:rtl/>
              </w:rPr>
            </w:pPr>
            <w:r w:rsidRPr="00C85ED3">
              <w:rPr>
                <w:color w:val="000000" w:themeColor="text1"/>
                <w:sz w:val="24"/>
                <w:szCs w:val="24"/>
                <w:rtl/>
              </w:rPr>
              <w:t>0.976</w:t>
            </w:r>
          </w:p>
        </w:tc>
      </w:tr>
    </w:tbl>
    <w:p w14:paraId="52811A98" w14:textId="347BC57E" w:rsidR="00C65B31" w:rsidRPr="00E24FBE" w:rsidRDefault="004065F4" w:rsidP="00C24E42">
      <w:pPr>
        <w:ind w:firstLine="720"/>
        <w:jc w:val="mediumKashida"/>
        <w:rPr>
          <w:color w:val="000000" w:themeColor="text1"/>
          <w:sz w:val="26"/>
          <w:szCs w:val="26"/>
          <w:rtl/>
        </w:rPr>
      </w:pPr>
      <w:r w:rsidRPr="00E24FBE">
        <w:rPr>
          <w:color w:val="000000" w:themeColor="text1"/>
          <w:sz w:val="26"/>
          <w:szCs w:val="26"/>
          <w:rtl/>
        </w:rPr>
        <w:lastRenderedPageBreak/>
        <w:t>يتضح من الجدول السابق أن معاملي الثبات والصدق يقتربا من الواحد الصحيح مما يشير إلى أن التناسق الداخلي للعبارات المستخدمة في البحث يعد قوياً ومقبولاً بدرجة كبيرة.</w:t>
      </w:r>
    </w:p>
    <w:p w14:paraId="53388C7D" w14:textId="464CB219" w:rsidR="00661D98" w:rsidRPr="002D1C3B" w:rsidRDefault="00C65B31" w:rsidP="002D1C3B">
      <w:pPr>
        <w:jc w:val="center"/>
        <w:rPr>
          <w:rFonts w:eastAsiaTheme="minorEastAsia"/>
          <w:b/>
          <w:bCs/>
          <w:color w:val="000000" w:themeColor="text1"/>
          <w:sz w:val="26"/>
          <w:szCs w:val="26"/>
          <w:rtl/>
          <w:lang w:bidi="ar-EG"/>
        </w:rPr>
      </w:pPr>
      <w:r w:rsidRPr="002D1C3B">
        <w:rPr>
          <w:b/>
          <w:bCs/>
          <w:color w:val="000000" w:themeColor="text1"/>
          <w:sz w:val="26"/>
          <w:szCs w:val="26"/>
          <w:rtl/>
          <w:lang w:bidi="ar-EG"/>
        </w:rPr>
        <w:t>جدول (</w:t>
      </w:r>
      <w:r w:rsidR="002D1C3B">
        <w:rPr>
          <w:rFonts w:hint="cs"/>
          <w:b/>
          <w:bCs/>
          <w:color w:val="000000" w:themeColor="text1"/>
          <w:sz w:val="26"/>
          <w:szCs w:val="26"/>
          <w:rtl/>
          <w:lang w:bidi="ar-EG"/>
        </w:rPr>
        <w:t>8</w:t>
      </w:r>
      <w:r w:rsidRPr="002D1C3B">
        <w:rPr>
          <w:b/>
          <w:bCs/>
          <w:color w:val="000000" w:themeColor="text1"/>
          <w:sz w:val="26"/>
          <w:szCs w:val="26"/>
          <w:rtl/>
          <w:lang w:bidi="ar-EG"/>
        </w:rPr>
        <w:t>)</w:t>
      </w:r>
      <w:r w:rsidRPr="002D1C3B">
        <w:rPr>
          <w:rFonts w:hint="cs"/>
          <w:b/>
          <w:bCs/>
          <w:color w:val="000000" w:themeColor="text1"/>
          <w:sz w:val="26"/>
          <w:szCs w:val="26"/>
          <w:rtl/>
          <w:lang w:bidi="ar-EG"/>
        </w:rPr>
        <w:t xml:space="preserve">: </w:t>
      </w:r>
      <w:r w:rsidR="00661D98" w:rsidRPr="002D1C3B">
        <w:rPr>
          <w:rFonts w:eastAsiaTheme="minorEastAsia"/>
          <w:b/>
          <w:bCs/>
          <w:color w:val="000000" w:themeColor="text1"/>
          <w:sz w:val="26"/>
          <w:szCs w:val="26"/>
          <w:rtl/>
        </w:rPr>
        <w:t>الاحصاء الوصفي لنتائج آراء العينة حول</w:t>
      </w:r>
      <w:r w:rsidR="00546853" w:rsidRPr="002D1C3B">
        <w:rPr>
          <w:rFonts w:eastAsiaTheme="minorEastAsia" w:hint="cs"/>
          <w:b/>
          <w:bCs/>
          <w:color w:val="000000" w:themeColor="text1"/>
          <w:sz w:val="26"/>
          <w:szCs w:val="26"/>
          <w:rtl/>
        </w:rPr>
        <w:t xml:space="preserve"> العبارات التي تحدد</w:t>
      </w:r>
      <w:r w:rsidR="00661D98" w:rsidRPr="002D1C3B">
        <w:rPr>
          <w:rFonts w:eastAsiaTheme="minorEastAsia"/>
          <w:b/>
          <w:bCs/>
          <w:color w:val="000000" w:themeColor="text1"/>
          <w:sz w:val="26"/>
          <w:szCs w:val="26"/>
          <w:rtl/>
        </w:rPr>
        <w:t xml:space="preserve"> </w:t>
      </w:r>
      <w:r w:rsidR="00661D98" w:rsidRPr="002D1C3B">
        <w:rPr>
          <w:rFonts w:eastAsiaTheme="minorEastAsia"/>
          <w:b/>
          <w:bCs/>
          <w:color w:val="000000" w:themeColor="text1"/>
          <w:sz w:val="26"/>
          <w:szCs w:val="26"/>
        </w:rPr>
        <w:t xml:space="preserve"> </w:t>
      </w:r>
      <w:r w:rsidR="00661D98" w:rsidRPr="002D1C3B">
        <w:rPr>
          <w:rFonts w:eastAsiaTheme="minorEastAsia" w:hint="cs"/>
          <w:b/>
          <w:bCs/>
          <w:color w:val="000000" w:themeColor="text1"/>
          <w:sz w:val="26"/>
          <w:szCs w:val="26"/>
          <w:rtl/>
          <w:lang w:bidi="ar-EG"/>
        </w:rPr>
        <w:t>متغيرات الفرض الأول</w:t>
      </w:r>
    </w:p>
    <w:tbl>
      <w:tblPr>
        <w:bidiVisual/>
        <w:tblW w:w="5515"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86"/>
        <w:gridCol w:w="760"/>
        <w:gridCol w:w="745"/>
        <w:gridCol w:w="732"/>
        <w:gridCol w:w="675"/>
        <w:gridCol w:w="1008"/>
      </w:tblGrid>
      <w:tr w:rsidR="009C4D0A" w:rsidRPr="00C85ED3" w14:paraId="74FE3149" w14:textId="77777777" w:rsidTr="00C85ED3">
        <w:trPr>
          <w:trHeight w:val="20"/>
          <w:tblHeader/>
          <w:jc w:val="center"/>
        </w:trPr>
        <w:tc>
          <w:tcPr>
            <w:tcW w:w="2938" w:type="pct"/>
            <w:shd w:val="thinDiagCross" w:color="D9D9D9" w:themeColor="background1" w:themeShade="D9" w:fill="FFFFFF" w:themeFill="background1"/>
            <w:vAlign w:val="center"/>
            <w:hideMark/>
          </w:tcPr>
          <w:p w14:paraId="15289EB0" w14:textId="639E0980" w:rsidR="00661D98" w:rsidRPr="00C85ED3" w:rsidRDefault="00661D98" w:rsidP="00C85ED3">
            <w:pPr>
              <w:spacing w:line="211" w:lineRule="auto"/>
              <w:ind w:left="-58"/>
              <w:jc w:val="center"/>
              <w:rPr>
                <w:b/>
                <w:bCs/>
                <w:color w:val="000000" w:themeColor="text1"/>
                <w:sz w:val="22"/>
                <w:szCs w:val="22"/>
                <w:rtl/>
              </w:rPr>
            </w:pPr>
            <w:r w:rsidRPr="00C85ED3">
              <w:rPr>
                <w:b/>
                <w:bCs/>
                <w:color w:val="000000" w:themeColor="text1"/>
                <w:sz w:val="22"/>
                <w:szCs w:val="22"/>
                <w:rtl/>
              </w:rPr>
              <w:t>العبارات</w:t>
            </w:r>
          </w:p>
        </w:tc>
        <w:tc>
          <w:tcPr>
            <w:tcW w:w="400" w:type="pct"/>
            <w:shd w:val="thinDiagCross" w:color="D9D9D9" w:themeColor="background1" w:themeShade="D9" w:fill="FFFFFF" w:themeFill="background1"/>
            <w:vAlign w:val="center"/>
            <w:hideMark/>
          </w:tcPr>
          <w:p w14:paraId="525C77B0" w14:textId="77777777" w:rsidR="00661D98" w:rsidRPr="00C85ED3" w:rsidRDefault="00661D98" w:rsidP="00C85ED3">
            <w:pPr>
              <w:spacing w:line="211" w:lineRule="auto"/>
              <w:ind w:left="-58"/>
              <w:jc w:val="center"/>
              <w:rPr>
                <w:b/>
                <w:bCs/>
                <w:color w:val="000000" w:themeColor="text1"/>
                <w:sz w:val="22"/>
                <w:szCs w:val="22"/>
                <w:rtl/>
              </w:rPr>
            </w:pPr>
            <w:r w:rsidRPr="00C85ED3">
              <w:rPr>
                <w:b/>
                <w:bCs/>
                <w:color w:val="000000" w:themeColor="text1"/>
                <w:sz w:val="22"/>
                <w:szCs w:val="22"/>
                <w:rtl/>
              </w:rPr>
              <w:t>المتوسط المرجح</w:t>
            </w:r>
          </w:p>
        </w:tc>
        <w:tc>
          <w:tcPr>
            <w:tcW w:w="392" w:type="pct"/>
            <w:shd w:val="thinDiagCross" w:color="D9D9D9" w:themeColor="background1" w:themeShade="D9" w:fill="FFFFFF" w:themeFill="background1"/>
            <w:vAlign w:val="center"/>
            <w:hideMark/>
          </w:tcPr>
          <w:p w14:paraId="40688C28" w14:textId="77777777" w:rsidR="00661D98" w:rsidRPr="00C85ED3" w:rsidRDefault="00661D98" w:rsidP="00C85ED3">
            <w:pPr>
              <w:spacing w:line="211" w:lineRule="auto"/>
              <w:ind w:left="-58"/>
              <w:jc w:val="center"/>
              <w:rPr>
                <w:b/>
                <w:bCs/>
                <w:color w:val="000000" w:themeColor="text1"/>
                <w:sz w:val="22"/>
                <w:szCs w:val="22"/>
                <w:rtl/>
              </w:rPr>
            </w:pPr>
            <w:r w:rsidRPr="00C85ED3">
              <w:rPr>
                <w:b/>
                <w:bCs/>
                <w:color w:val="000000" w:themeColor="text1"/>
                <w:sz w:val="22"/>
                <w:szCs w:val="22"/>
                <w:rtl/>
              </w:rPr>
              <w:t>الانحراف المعياري</w:t>
            </w:r>
          </w:p>
        </w:tc>
        <w:tc>
          <w:tcPr>
            <w:tcW w:w="385" w:type="pct"/>
            <w:shd w:val="thinDiagCross" w:color="D9D9D9" w:themeColor="background1" w:themeShade="D9" w:fill="FFFFFF" w:themeFill="background1"/>
            <w:vAlign w:val="center"/>
            <w:hideMark/>
          </w:tcPr>
          <w:p w14:paraId="05D59F9E" w14:textId="77777777" w:rsidR="00661D98" w:rsidRPr="00C85ED3" w:rsidRDefault="00661D98" w:rsidP="00C85ED3">
            <w:pPr>
              <w:spacing w:line="211" w:lineRule="auto"/>
              <w:ind w:left="-58"/>
              <w:jc w:val="center"/>
              <w:rPr>
                <w:b/>
                <w:bCs/>
                <w:color w:val="000000" w:themeColor="text1"/>
                <w:sz w:val="22"/>
                <w:szCs w:val="22"/>
                <w:rtl/>
              </w:rPr>
            </w:pPr>
            <w:r w:rsidRPr="00C85ED3">
              <w:rPr>
                <w:b/>
                <w:bCs/>
                <w:color w:val="000000" w:themeColor="text1"/>
                <w:sz w:val="22"/>
                <w:szCs w:val="22"/>
                <w:rtl/>
              </w:rPr>
              <w:t>درجة الموافقة</w:t>
            </w:r>
          </w:p>
        </w:tc>
        <w:tc>
          <w:tcPr>
            <w:tcW w:w="355" w:type="pct"/>
            <w:shd w:val="thinDiagCross" w:color="D9D9D9" w:themeColor="background1" w:themeShade="D9" w:fill="FFFFFF" w:themeFill="background1"/>
            <w:vAlign w:val="center"/>
            <w:hideMark/>
          </w:tcPr>
          <w:p w14:paraId="6F593601" w14:textId="77777777" w:rsidR="00661D98" w:rsidRPr="00C85ED3" w:rsidRDefault="00661D98" w:rsidP="00C85ED3">
            <w:pPr>
              <w:spacing w:line="211" w:lineRule="auto"/>
              <w:ind w:left="-58"/>
              <w:jc w:val="center"/>
              <w:rPr>
                <w:b/>
                <w:bCs/>
                <w:color w:val="000000" w:themeColor="text1"/>
                <w:sz w:val="22"/>
                <w:szCs w:val="22"/>
                <w:rtl/>
              </w:rPr>
            </w:pPr>
            <w:r w:rsidRPr="00C85ED3">
              <w:rPr>
                <w:b/>
                <w:bCs/>
                <w:color w:val="000000" w:themeColor="text1"/>
                <w:sz w:val="22"/>
                <w:szCs w:val="22"/>
                <w:rtl/>
              </w:rPr>
              <w:t>قيمة t</w:t>
            </w:r>
          </w:p>
        </w:tc>
        <w:tc>
          <w:tcPr>
            <w:tcW w:w="531" w:type="pct"/>
            <w:shd w:val="thinDiagCross" w:color="D9D9D9" w:themeColor="background1" w:themeShade="D9" w:fill="FFFFFF" w:themeFill="background1"/>
            <w:vAlign w:val="center"/>
            <w:hideMark/>
          </w:tcPr>
          <w:p w14:paraId="4C79BAC0" w14:textId="77777777" w:rsidR="00661D98" w:rsidRPr="00C85ED3" w:rsidRDefault="00661D98" w:rsidP="00C85ED3">
            <w:pPr>
              <w:spacing w:line="211" w:lineRule="auto"/>
              <w:ind w:left="-58"/>
              <w:jc w:val="center"/>
              <w:rPr>
                <w:b/>
                <w:bCs/>
                <w:color w:val="000000" w:themeColor="text1"/>
                <w:sz w:val="22"/>
                <w:szCs w:val="22"/>
                <w:rtl/>
              </w:rPr>
            </w:pPr>
            <w:r w:rsidRPr="00C85ED3">
              <w:rPr>
                <w:b/>
                <w:bCs/>
                <w:color w:val="000000" w:themeColor="text1"/>
                <w:sz w:val="22"/>
                <w:szCs w:val="22"/>
                <w:rtl/>
              </w:rPr>
              <w:t xml:space="preserve">مستوى الدلالة </w:t>
            </w:r>
            <w:proofErr w:type="spellStart"/>
            <w:r w:rsidRPr="00C85ED3">
              <w:rPr>
                <w:b/>
                <w:bCs/>
                <w:color w:val="000000" w:themeColor="text1"/>
                <w:sz w:val="22"/>
                <w:szCs w:val="22"/>
                <w:rtl/>
              </w:rPr>
              <w:t>Sig</w:t>
            </w:r>
            <w:proofErr w:type="spellEnd"/>
            <w:r w:rsidRPr="00C85ED3">
              <w:rPr>
                <w:b/>
                <w:bCs/>
                <w:color w:val="000000" w:themeColor="text1"/>
                <w:sz w:val="22"/>
                <w:szCs w:val="22"/>
                <w:rtl/>
              </w:rPr>
              <w:t>.</w:t>
            </w:r>
          </w:p>
        </w:tc>
      </w:tr>
      <w:tr w:rsidR="009C4D0A" w:rsidRPr="00C85ED3" w14:paraId="4325A9EA" w14:textId="77777777" w:rsidTr="00C85ED3">
        <w:trPr>
          <w:trHeight w:val="20"/>
          <w:jc w:val="center"/>
        </w:trPr>
        <w:tc>
          <w:tcPr>
            <w:tcW w:w="2938" w:type="pct"/>
          </w:tcPr>
          <w:p w14:paraId="56B5C00B" w14:textId="77777777" w:rsidR="00661D98" w:rsidRPr="00C85ED3" w:rsidRDefault="00661D98" w:rsidP="00C85ED3">
            <w:pPr>
              <w:spacing w:line="211" w:lineRule="auto"/>
              <w:jc w:val="lowKashida"/>
              <w:rPr>
                <w:color w:val="000000" w:themeColor="text1"/>
                <w:sz w:val="22"/>
                <w:szCs w:val="22"/>
                <w:rtl/>
                <w:lang w:bidi="ar-EG"/>
              </w:rPr>
            </w:pPr>
            <w:r w:rsidRPr="00C85ED3">
              <w:rPr>
                <w:rFonts w:hint="cs"/>
                <w:color w:val="000000" w:themeColor="text1"/>
                <w:sz w:val="22"/>
                <w:szCs w:val="22"/>
                <w:rtl/>
              </w:rPr>
              <w:t xml:space="preserve">يساعد الإفصاح عن الدخل الشامل على إعطاء رؤية واضحة وشاملة تساعد المستثمرين على اتخاذ قرارات رشيدة بشأن الاستثمار </w:t>
            </w:r>
            <w:proofErr w:type="spellStart"/>
            <w:r w:rsidRPr="00C85ED3">
              <w:rPr>
                <w:rFonts w:hint="cs"/>
                <w:color w:val="000000" w:themeColor="text1"/>
                <w:sz w:val="22"/>
                <w:szCs w:val="22"/>
                <w:rtl/>
              </w:rPr>
              <w:t>فى</w:t>
            </w:r>
            <w:proofErr w:type="spellEnd"/>
            <w:r w:rsidRPr="00C85ED3">
              <w:rPr>
                <w:rFonts w:hint="cs"/>
                <w:color w:val="000000" w:themeColor="text1"/>
                <w:sz w:val="22"/>
                <w:szCs w:val="22"/>
                <w:rtl/>
              </w:rPr>
              <w:t xml:space="preserve"> المنشأة.</w:t>
            </w:r>
            <w:r w:rsidRPr="00C85ED3">
              <w:rPr>
                <w:color w:val="000000" w:themeColor="text1"/>
                <w:sz w:val="22"/>
                <w:szCs w:val="22"/>
                <w:rtl/>
              </w:rPr>
              <w:t xml:space="preserve"> </w:t>
            </w:r>
          </w:p>
        </w:tc>
        <w:tc>
          <w:tcPr>
            <w:tcW w:w="400" w:type="pct"/>
            <w:shd w:val="clear" w:color="auto" w:fill="auto"/>
            <w:vAlign w:val="center"/>
          </w:tcPr>
          <w:p w14:paraId="15955006"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4.3</w:t>
            </w:r>
          </w:p>
        </w:tc>
        <w:tc>
          <w:tcPr>
            <w:tcW w:w="392" w:type="pct"/>
            <w:shd w:val="clear" w:color="auto" w:fill="auto"/>
            <w:vAlign w:val="center"/>
          </w:tcPr>
          <w:p w14:paraId="1C2BAA7B"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0.66</w:t>
            </w:r>
          </w:p>
        </w:tc>
        <w:tc>
          <w:tcPr>
            <w:tcW w:w="385" w:type="pct"/>
            <w:shd w:val="clear" w:color="auto" w:fill="auto"/>
            <w:vAlign w:val="center"/>
          </w:tcPr>
          <w:p w14:paraId="52380248"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 xml:space="preserve">الموافقة </w:t>
            </w:r>
            <w:bookmarkStart w:id="9" w:name="_Hlk136026353"/>
            <w:r w:rsidRPr="00C85ED3">
              <w:rPr>
                <w:rFonts w:hint="cs"/>
                <w:color w:val="000000" w:themeColor="text1"/>
                <w:sz w:val="22"/>
                <w:szCs w:val="22"/>
                <w:rtl/>
              </w:rPr>
              <w:t>تمام</w:t>
            </w:r>
            <w:r w:rsidRPr="00C85ED3">
              <w:rPr>
                <w:color w:val="000000" w:themeColor="text1"/>
                <w:sz w:val="22"/>
                <w:szCs w:val="22"/>
                <w:rtl/>
              </w:rPr>
              <w:t>ا</w:t>
            </w:r>
            <w:r w:rsidRPr="00C85ED3">
              <w:rPr>
                <w:rFonts w:hint="cs"/>
                <w:color w:val="000000" w:themeColor="text1"/>
                <w:sz w:val="22"/>
                <w:szCs w:val="22"/>
                <w:rtl/>
              </w:rPr>
              <w:t>ً</w:t>
            </w:r>
            <w:bookmarkEnd w:id="9"/>
          </w:p>
        </w:tc>
        <w:tc>
          <w:tcPr>
            <w:tcW w:w="355" w:type="pct"/>
            <w:shd w:val="clear" w:color="auto" w:fill="auto"/>
            <w:vAlign w:val="center"/>
          </w:tcPr>
          <w:p w14:paraId="49BC5694"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15.4</w:t>
            </w:r>
          </w:p>
        </w:tc>
        <w:tc>
          <w:tcPr>
            <w:tcW w:w="531" w:type="pct"/>
            <w:shd w:val="clear" w:color="auto" w:fill="auto"/>
            <w:vAlign w:val="center"/>
          </w:tcPr>
          <w:p w14:paraId="59523E1C"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w:t>
            </w:r>
          </w:p>
        </w:tc>
      </w:tr>
      <w:tr w:rsidR="009C4D0A" w:rsidRPr="00C85ED3" w14:paraId="791C8F1E" w14:textId="77777777" w:rsidTr="00C85ED3">
        <w:trPr>
          <w:trHeight w:val="20"/>
          <w:jc w:val="center"/>
        </w:trPr>
        <w:tc>
          <w:tcPr>
            <w:tcW w:w="2938" w:type="pct"/>
          </w:tcPr>
          <w:p w14:paraId="16F44582" w14:textId="77777777" w:rsidR="00661D98" w:rsidRPr="00C85ED3" w:rsidRDefault="00661D98" w:rsidP="00C85ED3">
            <w:pPr>
              <w:spacing w:line="211" w:lineRule="auto"/>
              <w:jc w:val="lowKashida"/>
              <w:rPr>
                <w:color w:val="000000" w:themeColor="text1"/>
                <w:sz w:val="22"/>
                <w:szCs w:val="22"/>
                <w:rtl/>
                <w:lang w:bidi="ar-EG"/>
              </w:rPr>
            </w:pPr>
            <w:r w:rsidRPr="00C85ED3">
              <w:rPr>
                <w:rFonts w:hint="cs"/>
                <w:color w:val="000000" w:themeColor="text1"/>
                <w:sz w:val="22"/>
                <w:szCs w:val="22"/>
                <w:rtl/>
              </w:rPr>
              <w:t xml:space="preserve">يؤدى الإفصاح عن الدخل الشامل إلى زيادة ثقة المستثمرين </w:t>
            </w:r>
            <w:proofErr w:type="spellStart"/>
            <w:r w:rsidRPr="00C85ED3">
              <w:rPr>
                <w:rFonts w:hint="cs"/>
                <w:color w:val="000000" w:themeColor="text1"/>
                <w:sz w:val="22"/>
                <w:szCs w:val="22"/>
                <w:rtl/>
              </w:rPr>
              <w:t>فى</w:t>
            </w:r>
            <w:proofErr w:type="spellEnd"/>
            <w:r w:rsidRPr="00C85ED3">
              <w:rPr>
                <w:rFonts w:hint="cs"/>
                <w:color w:val="000000" w:themeColor="text1"/>
                <w:sz w:val="22"/>
                <w:szCs w:val="22"/>
                <w:rtl/>
              </w:rPr>
              <w:t xml:space="preserve"> القوائم المالية نظراً لاستبعاد تحيز الإدارة.  </w:t>
            </w:r>
          </w:p>
        </w:tc>
        <w:tc>
          <w:tcPr>
            <w:tcW w:w="400" w:type="pct"/>
            <w:shd w:val="clear" w:color="auto" w:fill="auto"/>
            <w:vAlign w:val="center"/>
          </w:tcPr>
          <w:p w14:paraId="341B5B5A"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4.2</w:t>
            </w:r>
          </w:p>
        </w:tc>
        <w:tc>
          <w:tcPr>
            <w:tcW w:w="392" w:type="pct"/>
            <w:shd w:val="clear" w:color="auto" w:fill="auto"/>
            <w:vAlign w:val="center"/>
          </w:tcPr>
          <w:p w14:paraId="188C5E58"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0.72</w:t>
            </w:r>
          </w:p>
        </w:tc>
        <w:tc>
          <w:tcPr>
            <w:tcW w:w="385" w:type="pct"/>
            <w:shd w:val="clear" w:color="auto" w:fill="auto"/>
            <w:vAlign w:val="center"/>
          </w:tcPr>
          <w:p w14:paraId="5C0C16DB"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 xml:space="preserve">الموافقة </w:t>
            </w:r>
            <w:r w:rsidRPr="00C85ED3">
              <w:rPr>
                <w:rFonts w:hint="cs"/>
                <w:color w:val="000000" w:themeColor="text1"/>
                <w:sz w:val="22"/>
                <w:szCs w:val="22"/>
                <w:rtl/>
              </w:rPr>
              <w:t>تمام</w:t>
            </w:r>
            <w:r w:rsidRPr="00C85ED3">
              <w:rPr>
                <w:color w:val="000000" w:themeColor="text1"/>
                <w:sz w:val="22"/>
                <w:szCs w:val="22"/>
                <w:rtl/>
              </w:rPr>
              <w:t>ا</w:t>
            </w:r>
            <w:r w:rsidRPr="00C85ED3">
              <w:rPr>
                <w:rFonts w:hint="cs"/>
                <w:color w:val="000000" w:themeColor="text1"/>
                <w:sz w:val="22"/>
                <w:szCs w:val="22"/>
                <w:rtl/>
              </w:rPr>
              <w:t>ً</w:t>
            </w:r>
          </w:p>
        </w:tc>
        <w:tc>
          <w:tcPr>
            <w:tcW w:w="355" w:type="pct"/>
            <w:shd w:val="clear" w:color="auto" w:fill="auto"/>
            <w:vAlign w:val="center"/>
          </w:tcPr>
          <w:p w14:paraId="56D5B4EF"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11.3</w:t>
            </w:r>
          </w:p>
        </w:tc>
        <w:tc>
          <w:tcPr>
            <w:tcW w:w="531" w:type="pct"/>
            <w:shd w:val="clear" w:color="auto" w:fill="auto"/>
            <w:vAlign w:val="center"/>
          </w:tcPr>
          <w:p w14:paraId="5F8B2BCF"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w:t>
            </w:r>
          </w:p>
        </w:tc>
      </w:tr>
      <w:tr w:rsidR="009C4D0A" w:rsidRPr="00C85ED3" w14:paraId="1DEE2282" w14:textId="77777777" w:rsidTr="00C85ED3">
        <w:trPr>
          <w:trHeight w:val="20"/>
          <w:jc w:val="center"/>
        </w:trPr>
        <w:tc>
          <w:tcPr>
            <w:tcW w:w="2938" w:type="pct"/>
          </w:tcPr>
          <w:p w14:paraId="57AB79D1" w14:textId="77777777" w:rsidR="00661D98" w:rsidRPr="00C85ED3" w:rsidRDefault="00661D98" w:rsidP="00C85ED3">
            <w:pPr>
              <w:spacing w:line="211" w:lineRule="auto"/>
              <w:jc w:val="lowKashida"/>
              <w:rPr>
                <w:color w:val="000000" w:themeColor="text1"/>
                <w:sz w:val="22"/>
                <w:szCs w:val="22"/>
                <w:rtl/>
                <w:lang w:bidi="ar-EG"/>
              </w:rPr>
            </w:pPr>
            <w:r w:rsidRPr="00C85ED3">
              <w:rPr>
                <w:rFonts w:hint="cs"/>
                <w:color w:val="000000" w:themeColor="text1"/>
                <w:sz w:val="22"/>
                <w:szCs w:val="22"/>
                <w:rtl/>
              </w:rPr>
              <w:t>يزيد إفصاح المنشآت المصرية للدخل الشامل من جودة الإفصاح المحاسبي، ومن ثم تعزيز كفاءة سوق الأوراق المالية.</w:t>
            </w:r>
          </w:p>
        </w:tc>
        <w:tc>
          <w:tcPr>
            <w:tcW w:w="400" w:type="pct"/>
            <w:shd w:val="clear" w:color="auto" w:fill="auto"/>
            <w:vAlign w:val="center"/>
          </w:tcPr>
          <w:p w14:paraId="686D33F2"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4.3</w:t>
            </w:r>
          </w:p>
        </w:tc>
        <w:tc>
          <w:tcPr>
            <w:tcW w:w="392" w:type="pct"/>
            <w:shd w:val="clear" w:color="auto" w:fill="auto"/>
            <w:vAlign w:val="center"/>
          </w:tcPr>
          <w:p w14:paraId="406EAFC5"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0.69</w:t>
            </w:r>
          </w:p>
        </w:tc>
        <w:tc>
          <w:tcPr>
            <w:tcW w:w="385" w:type="pct"/>
            <w:shd w:val="clear" w:color="auto" w:fill="auto"/>
            <w:vAlign w:val="center"/>
          </w:tcPr>
          <w:p w14:paraId="7159DEC6"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الموافقة</w:t>
            </w:r>
            <w:r w:rsidRPr="00C85ED3">
              <w:rPr>
                <w:rFonts w:hint="cs"/>
                <w:color w:val="000000" w:themeColor="text1"/>
                <w:sz w:val="22"/>
                <w:szCs w:val="22"/>
                <w:rtl/>
              </w:rPr>
              <w:t xml:space="preserve"> تمام</w:t>
            </w:r>
            <w:r w:rsidRPr="00C85ED3">
              <w:rPr>
                <w:color w:val="000000" w:themeColor="text1"/>
                <w:sz w:val="22"/>
                <w:szCs w:val="22"/>
                <w:rtl/>
              </w:rPr>
              <w:t>ا</w:t>
            </w:r>
            <w:r w:rsidRPr="00C85ED3">
              <w:rPr>
                <w:rFonts w:hint="cs"/>
                <w:color w:val="000000" w:themeColor="text1"/>
                <w:sz w:val="22"/>
                <w:szCs w:val="22"/>
                <w:rtl/>
              </w:rPr>
              <w:t>ً</w:t>
            </w:r>
          </w:p>
        </w:tc>
        <w:tc>
          <w:tcPr>
            <w:tcW w:w="355" w:type="pct"/>
            <w:shd w:val="clear" w:color="auto" w:fill="auto"/>
            <w:vAlign w:val="center"/>
          </w:tcPr>
          <w:p w14:paraId="1FC43357"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13.76</w:t>
            </w:r>
          </w:p>
        </w:tc>
        <w:tc>
          <w:tcPr>
            <w:tcW w:w="531" w:type="pct"/>
            <w:shd w:val="clear" w:color="auto" w:fill="auto"/>
            <w:vAlign w:val="center"/>
          </w:tcPr>
          <w:p w14:paraId="44F2492D"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w:t>
            </w:r>
          </w:p>
        </w:tc>
      </w:tr>
      <w:tr w:rsidR="009C4D0A" w:rsidRPr="00C85ED3" w14:paraId="662567D3" w14:textId="77777777" w:rsidTr="00C85ED3">
        <w:trPr>
          <w:trHeight w:val="20"/>
          <w:jc w:val="center"/>
        </w:trPr>
        <w:tc>
          <w:tcPr>
            <w:tcW w:w="2938" w:type="pct"/>
          </w:tcPr>
          <w:p w14:paraId="53AEA2ED" w14:textId="77777777" w:rsidR="00661D98" w:rsidRPr="00C85ED3" w:rsidRDefault="00661D98" w:rsidP="00C85ED3">
            <w:pPr>
              <w:spacing w:line="211" w:lineRule="auto"/>
              <w:jc w:val="lowKashida"/>
              <w:rPr>
                <w:color w:val="000000" w:themeColor="text1"/>
                <w:sz w:val="22"/>
                <w:szCs w:val="22"/>
                <w:rtl/>
                <w:lang w:bidi="ar-EG"/>
              </w:rPr>
            </w:pPr>
            <w:r w:rsidRPr="00C85ED3">
              <w:rPr>
                <w:rFonts w:hint="cs"/>
                <w:color w:val="000000" w:themeColor="text1"/>
                <w:sz w:val="22"/>
                <w:szCs w:val="22"/>
                <w:rtl/>
              </w:rPr>
              <w:t>يؤدى الإفصاح عن الدخل الشامل إلى تعديل توقعات المستثمرين بخصوص منافعهم المستقبلية.</w:t>
            </w:r>
          </w:p>
        </w:tc>
        <w:tc>
          <w:tcPr>
            <w:tcW w:w="400" w:type="pct"/>
            <w:shd w:val="clear" w:color="auto" w:fill="auto"/>
            <w:vAlign w:val="center"/>
          </w:tcPr>
          <w:p w14:paraId="6DAD45CC"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4.2</w:t>
            </w:r>
          </w:p>
        </w:tc>
        <w:tc>
          <w:tcPr>
            <w:tcW w:w="392" w:type="pct"/>
            <w:shd w:val="clear" w:color="auto" w:fill="auto"/>
            <w:vAlign w:val="center"/>
          </w:tcPr>
          <w:p w14:paraId="2B5B8BF0"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0.61</w:t>
            </w:r>
          </w:p>
        </w:tc>
        <w:tc>
          <w:tcPr>
            <w:tcW w:w="385" w:type="pct"/>
            <w:shd w:val="clear" w:color="auto" w:fill="auto"/>
            <w:vAlign w:val="center"/>
          </w:tcPr>
          <w:p w14:paraId="72142E28"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الموافقة</w:t>
            </w:r>
            <w:r w:rsidRPr="00C85ED3">
              <w:rPr>
                <w:rFonts w:hint="cs"/>
                <w:color w:val="000000" w:themeColor="text1"/>
                <w:sz w:val="22"/>
                <w:szCs w:val="22"/>
                <w:rtl/>
              </w:rPr>
              <w:t xml:space="preserve"> تمام</w:t>
            </w:r>
            <w:r w:rsidRPr="00C85ED3">
              <w:rPr>
                <w:color w:val="000000" w:themeColor="text1"/>
                <w:sz w:val="22"/>
                <w:szCs w:val="22"/>
                <w:rtl/>
              </w:rPr>
              <w:t>ا</w:t>
            </w:r>
            <w:r w:rsidRPr="00C85ED3">
              <w:rPr>
                <w:rFonts w:hint="cs"/>
                <w:color w:val="000000" w:themeColor="text1"/>
                <w:sz w:val="22"/>
                <w:szCs w:val="22"/>
                <w:rtl/>
              </w:rPr>
              <w:t>ً</w:t>
            </w:r>
          </w:p>
        </w:tc>
        <w:tc>
          <w:tcPr>
            <w:tcW w:w="355" w:type="pct"/>
            <w:shd w:val="clear" w:color="auto" w:fill="auto"/>
            <w:vAlign w:val="center"/>
          </w:tcPr>
          <w:p w14:paraId="0B3BA8AC"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13.86</w:t>
            </w:r>
          </w:p>
        </w:tc>
        <w:tc>
          <w:tcPr>
            <w:tcW w:w="531" w:type="pct"/>
            <w:shd w:val="clear" w:color="auto" w:fill="auto"/>
            <w:vAlign w:val="center"/>
          </w:tcPr>
          <w:p w14:paraId="0AC296F2"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w:t>
            </w:r>
          </w:p>
        </w:tc>
      </w:tr>
      <w:tr w:rsidR="009C4D0A" w:rsidRPr="00C85ED3" w14:paraId="6E276786" w14:textId="77777777" w:rsidTr="00C85ED3">
        <w:trPr>
          <w:trHeight w:val="20"/>
          <w:jc w:val="center"/>
        </w:trPr>
        <w:tc>
          <w:tcPr>
            <w:tcW w:w="2938" w:type="pct"/>
          </w:tcPr>
          <w:p w14:paraId="440D0668" w14:textId="77777777" w:rsidR="00661D98" w:rsidRPr="00C85ED3" w:rsidRDefault="00661D98" w:rsidP="00C85ED3">
            <w:pPr>
              <w:spacing w:line="211" w:lineRule="auto"/>
              <w:jc w:val="lowKashida"/>
              <w:rPr>
                <w:color w:val="000000" w:themeColor="text1"/>
                <w:sz w:val="22"/>
                <w:szCs w:val="22"/>
                <w:rtl/>
                <w:lang w:bidi="ar-EG"/>
              </w:rPr>
            </w:pPr>
            <w:r w:rsidRPr="00C85ED3">
              <w:rPr>
                <w:rFonts w:hint="cs"/>
                <w:color w:val="000000" w:themeColor="text1"/>
                <w:sz w:val="22"/>
                <w:szCs w:val="22"/>
                <w:rtl/>
              </w:rPr>
              <w:t xml:space="preserve">النظرة الحديثة لبنود الدخل الشامل الآخر والتقلب الكبير </w:t>
            </w:r>
            <w:proofErr w:type="spellStart"/>
            <w:r w:rsidRPr="00C85ED3">
              <w:rPr>
                <w:rFonts w:hint="cs"/>
                <w:color w:val="000000" w:themeColor="text1"/>
                <w:sz w:val="22"/>
                <w:szCs w:val="22"/>
                <w:rtl/>
              </w:rPr>
              <w:t>فى</w:t>
            </w:r>
            <w:proofErr w:type="spellEnd"/>
            <w:r w:rsidRPr="00C85ED3">
              <w:rPr>
                <w:rFonts w:hint="cs"/>
                <w:color w:val="000000" w:themeColor="text1"/>
                <w:sz w:val="22"/>
                <w:szCs w:val="22"/>
                <w:rtl/>
              </w:rPr>
              <w:t xml:space="preserve"> قيمتها يجعل المخاطر والأزمات المالية </w:t>
            </w:r>
            <w:proofErr w:type="spellStart"/>
            <w:r w:rsidRPr="00C85ED3">
              <w:rPr>
                <w:rFonts w:hint="cs"/>
                <w:color w:val="000000" w:themeColor="text1"/>
                <w:sz w:val="22"/>
                <w:szCs w:val="22"/>
                <w:rtl/>
              </w:rPr>
              <w:t>التى</w:t>
            </w:r>
            <w:proofErr w:type="spellEnd"/>
            <w:r w:rsidRPr="00C85ED3">
              <w:rPr>
                <w:rFonts w:hint="cs"/>
                <w:color w:val="000000" w:themeColor="text1"/>
                <w:sz w:val="22"/>
                <w:szCs w:val="22"/>
                <w:rtl/>
              </w:rPr>
              <w:t xml:space="preserve"> تواجه المنشآت أكثر وضوحاً لدى المستثمرين.</w:t>
            </w:r>
          </w:p>
        </w:tc>
        <w:tc>
          <w:tcPr>
            <w:tcW w:w="400" w:type="pct"/>
            <w:shd w:val="clear" w:color="auto" w:fill="auto"/>
            <w:vAlign w:val="center"/>
          </w:tcPr>
          <w:p w14:paraId="42BBAE2E"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4.1</w:t>
            </w:r>
          </w:p>
        </w:tc>
        <w:tc>
          <w:tcPr>
            <w:tcW w:w="392" w:type="pct"/>
            <w:shd w:val="clear" w:color="auto" w:fill="auto"/>
            <w:vAlign w:val="center"/>
          </w:tcPr>
          <w:p w14:paraId="3515F1DB"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0.7</w:t>
            </w:r>
          </w:p>
        </w:tc>
        <w:tc>
          <w:tcPr>
            <w:tcW w:w="385" w:type="pct"/>
            <w:shd w:val="clear" w:color="auto" w:fill="auto"/>
            <w:vAlign w:val="center"/>
          </w:tcPr>
          <w:p w14:paraId="25EC1B8D"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الموافقة</w:t>
            </w:r>
          </w:p>
        </w:tc>
        <w:tc>
          <w:tcPr>
            <w:tcW w:w="355" w:type="pct"/>
            <w:shd w:val="clear" w:color="auto" w:fill="auto"/>
            <w:vAlign w:val="center"/>
          </w:tcPr>
          <w:p w14:paraId="6DE9C484"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10.07</w:t>
            </w:r>
          </w:p>
        </w:tc>
        <w:tc>
          <w:tcPr>
            <w:tcW w:w="531" w:type="pct"/>
            <w:shd w:val="clear" w:color="auto" w:fill="auto"/>
            <w:vAlign w:val="center"/>
          </w:tcPr>
          <w:p w14:paraId="3C24E30E"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w:t>
            </w:r>
          </w:p>
        </w:tc>
      </w:tr>
      <w:tr w:rsidR="009C4D0A" w:rsidRPr="00C85ED3" w14:paraId="2DD3C07E" w14:textId="77777777" w:rsidTr="00C85ED3">
        <w:trPr>
          <w:trHeight w:val="20"/>
          <w:jc w:val="center"/>
        </w:trPr>
        <w:tc>
          <w:tcPr>
            <w:tcW w:w="2938" w:type="pct"/>
          </w:tcPr>
          <w:p w14:paraId="78BB7EE8" w14:textId="77777777" w:rsidR="00661D98" w:rsidRPr="00C85ED3" w:rsidRDefault="00661D98" w:rsidP="00C85ED3">
            <w:pPr>
              <w:spacing w:line="211" w:lineRule="auto"/>
              <w:jc w:val="lowKashida"/>
              <w:rPr>
                <w:color w:val="000000" w:themeColor="text1"/>
                <w:sz w:val="22"/>
                <w:szCs w:val="22"/>
                <w:rtl/>
                <w:lang w:bidi="ar-EG"/>
              </w:rPr>
            </w:pPr>
            <w:r w:rsidRPr="00C85ED3">
              <w:rPr>
                <w:rFonts w:hint="cs"/>
                <w:color w:val="000000" w:themeColor="text1"/>
                <w:sz w:val="22"/>
                <w:szCs w:val="22"/>
                <w:rtl/>
              </w:rPr>
              <w:t xml:space="preserve">يمكن من خلال الإفصاح عن المحتوى </w:t>
            </w:r>
            <w:proofErr w:type="spellStart"/>
            <w:r w:rsidRPr="00C85ED3">
              <w:rPr>
                <w:rFonts w:hint="cs"/>
                <w:color w:val="000000" w:themeColor="text1"/>
                <w:sz w:val="22"/>
                <w:szCs w:val="22"/>
                <w:rtl/>
              </w:rPr>
              <w:t>المعلوماتى</w:t>
            </w:r>
            <w:proofErr w:type="spellEnd"/>
            <w:r w:rsidRPr="00C85ED3">
              <w:rPr>
                <w:rFonts w:hint="cs"/>
                <w:color w:val="000000" w:themeColor="text1"/>
                <w:sz w:val="22"/>
                <w:szCs w:val="22"/>
                <w:rtl/>
              </w:rPr>
              <w:t xml:space="preserve"> لبنود الدخل الشامل الآخر التأثير على أسعار الأسهم وقرارات المستثمرين وبنية معلومات المنشأة.</w:t>
            </w:r>
          </w:p>
        </w:tc>
        <w:tc>
          <w:tcPr>
            <w:tcW w:w="400" w:type="pct"/>
            <w:shd w:val="clear" w:color="auto" w:fill="auto"/>
            <w:vAlign w:val="center"/>
          </w:tcPr>
          <w:p w14:paraId="4C00749B"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4.1</w:t>
            </w:r>
          </w:p>
        </w:tc>
        <w:tc>
          <w:tcPr>
            <w:tcW w:w="392" w:type="pct"/>
            <w:shd w:val="clear" w:color="auto" w:fill="auto"/>
            <w:vAlign w:val="center"/>
          </w:tcPr>
          <w:p w14:paraId="48862E8E"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0.69</w:t>
            </w:r>
          </w:p>
        </w:tc>
        <w:tc>
          <w:tcPr>
            <w:tcW w:w="385" w:type="pct"/>
            <w:shd w:val="clear" w:color="auto" w:fill="auto"/>
            <w:vAlign w:val="center"/>
          </w:tcPr>
          <w:p w14:paraId="5EB4EC07"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الموافقة</w:t>
            </w:r>
          </w:p>
        </w:tc>
        <w:tc>
          <w:tcPr>
            <w:tcW w:w="355" w:type="pct"/>
            <w:shd w:val="clear" w:color="auto" w:fill="auto"/>
            <w:vAlign w:val="center"/>
          </w:tcPr>
          <w:p w14:paraId="5DCFBEB4"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11.57</w:t>
            </w:r>
          </w:p>
        </w:tc>
        <w:tc>
          <w:tcPr>
            <w:tcW w:w="531" w:type="pct"/>
            <w:shd w:val="clear" w:color="auto" w:fill="auto"/>
            <w:vAlign w:val="center"/>
          </w:tcPr>
          <w:p w14:paraId="05D3EA64"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w:t>
            </w:r>
          </w:p>
        </w:tc>
      </w:tr>
      <w:tr w:rsidR="009C4D0A" w:rsidRPr="00C85ED3" w14:paraId="4D2CBA3B" w14:textId="77777777" w:rsidTr="00C85ED3">
        <w:trPr>
          <w:trHeight w:val="20"/>
          <w:jc w:val="center"/>
        </w:trPr>
        <w:tc>
          <w:tcPr>
            <w:tcW w:w="2938" w:type="pct"/>
          </w:tcPr>
          <w:p w14:paraId="2F8C6429" w14:textId="77777777" w:rsidR="00661D98" w:rsidRPr="00C85ED3" w:rsidRDefault="00661D98" w:rsidP="00C85ED3">
            <w:pPr>
              <w:spacing w:line="211" w:lineRule="auto"/>
              <w:jc w:val="lowKashida"/>
              <w:rPr>
                <w:color w:val="000000" w:themeColor="text1"/>
                <w:sz w:val="22"/>
                <w:szCs w:val="22"/>
                <w:rtl/>
                <w:lang w:bidi="ar-EG"/>
              </w:rPr>
            </w:pPr>
            <w:r w:rsidRPr="00C85ED3">
              <w:rPr>
                <w:rFonts w:hint="cs"/>
                <w:color w:val="000000" w:themeColor="text1"/>
                <w:sz w:val="22"/>
                <w:szCs w:val="22"/>
                <w:rtl/>
              </w:rPr>
              <w:t xml:space="preserve">يساعد الإفصاح المحاسبي عن الدخل الشامل </w:t>
            </w:r>
            <w:proofErr w:type="spellStart"/>
            <w:r w:rsidRPr="00C85ED3">
              <w:rPr>
                <w:rFonts w:hint="cs"/>
                <w:color w:val="000000" w:themeColor="text1"/>
                <w:sz w:val="22"/>
                <w:szCs w:val="22"/>
                <w:rtl/>
              </w:rPr>
              <w:t>فى</w:t>
            </w:r>
            <w:proofErr w:type="spellEnd"/>
            <w:r w:rsidRPr="00C85ED3">
              <w:rPr>
                <w:rFonts w:hint="cs"/>
                <w:color w:val="000000" w:themeColor="text1"/>
                <w:sz w:val="22"/>
                <w:szCs w:val="22"/>
                <w:rtl/>
              </w:rPr>
              <w:t xml:space="preserve"> توقع التدفقات النقدية المستقبلية للمنشآت وهو ما يؤدى إلى زيادة قناعة المستثمرين </w:t>
            </w:r>
            <w:proofErr w:type="spellStart"/>
            <w:r w:rsidRPr="00C85ED3">
              <w:rPr>
                <w:rFonts w:hint="cs"/>
                <w:color w:val="000000" w:themeColor="text1"/>
                <w:sz w:val="22"/>
                <w:szCs w:val="22"/>
                <w:rtl/>
              </w:rPr>
              <w:t>فى</w:t>
            </w:r>
            <w:proofErr w:type="spellEnd"/>
            <w:r w:rsidRPr="00C85ED3">
              <w:rPr>
                <w:rFonts w:hint="cs"/>
                <w:color w:val="000000" w:themeColor="text1"/>
                <w:sz w:val="22"/>
                <w:szCs w:val="22"/>
                <w:rtl/>
              </w:rPr>
              <w:t xml:space="preserve"> كفاءة سوق الأوراق المالية.</w:t>
            </w:r>
          </w:p>
        </w:tc>
        <w:tc>
          <w:tcPr>
            <w:tcW w:w="400" w:type="pct"/>
            <w:shd w:val="clear" w:color="auto" w:fill="auto"/>
            <w:vAlign w:val="center"/>
          </w:tcPr>
          <w:p w14:paraId="37EB5030"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4.1</w:t>
            </w:r>
          </w:p>
        </w:tc>
        <w:tc>
          <w:tcPr>
            <w:tcW w:w="392" w:type="pct"/>
            <w:shd w:val="clear" w:color="auto" w:fill="auto"/>
            <w:vAlign w:val="center"/>
          </w:tcPr>
          <w:p w14:paraId="59700C5D"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0.72</w:t>
            </w:r>
          </w:p>
        </w:tc>
        <w:tc>
          <w:tcPr>
            <w:tcW w:w="385" w:type="pct"/>
            <w:shd w:val="clear" w:color="auto" w:fill="auto"/>
            <w:vAlign w:val="center"/>
          </w:tcPr>
          <w:p w14:paraId="3A973E34"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الموافقة ‏</w:t>
            </w:r>
          </w:p>
        </w:tc>
        <w:tc>
          <w:tcPr>
            <w:tcW w:w="355" w:type="pct"/>
            <w:shd w:val="clear" w:color="auto" w:fill="auto"/>
            <w:vAlign w:val="center"/>
          </w:tcPr>
          <w:p w14:paraId="573A1260"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10.5</w:t>
            </w:r>
          </w:p>
        </w:tc>
        <w:tc>
          <w:tcPr>
            <w:tcW w:w="531" w:type="pct"/>
            <w:shd w:val="clear" w:color="auto" w:fill="auto"/>
            <w:vAlign w:val="center"/>
          </w:tcPr>
          <w:p w14:paraId="69DFE3A2"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cs/>
              </w:rPr>
              <w:t>‎</w:t>
            </w:r>
            <w:r w:rsidRPr="00C85ED3">
              <w:rPr>
                <w:color w:val="000000" w:themeColor="text1"/>
                <w:sz w:val="22"/>
                <w:szCs w:val="22"/>
                <w:rtl/>
              </w:rPr>
              <w:t>0</w:t>
            </w:r>
            <w:r w:rsidRPr="00C85ED3">
              <w:rPr>
                <w:color w:val="000000" w:themeColor="text1"/>
                <w:sz w:val="22"/>
                <w:szCs w:val="22"/>
                <w:rtl/>
                <w:cs/>
              </w:rPr>
              <w:t>‎</w:t>
            </w:r>
          </w:p>
        </w:tc>
      </w:tr>
      <w:tr w:rsidR="009C4D0A" w:rsidRPr="00C85ED3" w14:paraId="4E22A3A0" w14:textId="77777777" w:rsidTr="00C85ED3">
        <w:trPr>
          <w:trHeight w:val="20"/>
          <w:jc w:val="center"/>
        </w:trPr>
        <w:tc>
          <w:tcPr>
            <w:tcW w:w="2938" w:type="pct"/>
          </w:tcPr>
          <w:p w14:paraId="47F1575A" w14:textId="77777777" w:rsidR="00661D98" w:rsidRPr="00C85ED3" w:rsidRDefault="00661D98" w:rsidP="00C85ED3">
            <w:pPr>
              <w:spacing w:line="211" w:lineRule="auto"/>
              <w:jc w:val="lowKashida"/>
              <w:rPr>
                <w:color w:val="000000" w:themeColor="text1"/>
                <w:sz w:val="22"/>
                <w:szCs w:val="22"/>
                <w:rtl/>
                <w:lang w:bidi="ar-EG"/>
              </w:rPr>
            </w:pPr>
            <w:r w:rsidRPr="00C85ED3">
              <w:rPr>
                <w:rFonts w:hint="cs"/>
                <w:color w:val="000000" w:themeColor="text1"/>
                <w:sz w:val="22"/>
                <w:szCs w:val="22"/>
                <w:rtl/>
              </w:rPr>
              <w:t>يساعد الإفصاح المحاسبي عن الدخل الشامل على فهم وتحليل القوائم المالية من قبل المستثمرين، ومن ثم تعزيز كفاءة سوق الأوراق المالية</w:t>
            </w:r>
            <w:r w:rsidRPr="00C85ED3">
              <w:rPr>
                <w:color w:val="000000" w:themeColor="text1"/>
                <w:sz w:val="22"/>
                <w:szCs w:val="22"/>
              </w:rPr>
              <w:t>.</w:t>
            </w:r>
          </w:p>
        </w:tc>
        <w:tc>
          <w:tcPr>
            <w:tcW w:w="400" w:type="pct"/>
            <w:shd w:val="clear" w:color="auto" w:fill="auto"/>
            <w:vAlign w:val="center"/>
          </w:tcPr>
          <w:p w14:paraId="10B10372"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4.2</w:t>
            </w:r>
          </w:p>
        </w:tc>
        <w:tc>
          <w:tcPr>
            <w:tcW w:w="392" w:type="pct"/>
            <w:shd w:val="clear" w:color="auto" w:fill="auto"/>
            <w:vAlign w:val="center"/>
          </w:tcPr>
          <w:p w14:paraId="71DDE788"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0.66</w:t>
            </w:r>
          </w:p>
        </w:tc>
        <w:tc>
          <w:tcPr>
            <w:tcW w:w="385" w:type="pct"/>
            <w:shd w:val="clear" w:color="auto" w:fill="auto"/>
            <w:vAlign w:val="center"/>
          </w:tcPr>
          <w:p w14:paraId="6908324E"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الموافقة تماماً</w:t>
            </w:r>
          </w:p>
        </w:tc>
        <w:tc>
          <w:tcPr>
            <w:tcW w:w="355" w:type="pct"/>
            <w:shd w:val="clear" w:color="auto" w:fill="auto"/>
            <w:vAlign w:val="center"/>
          </w:tcPr>
          <w:p w14:paraId="7A7EDBBC"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12.77</w:t>
            </w:r>
          </w:p>
        </w:tc>
        <w:tc>
          <w:tcPr>
            <w:tcW w:w="531" w:type="pct"/>
            <w:shd w:val="clear" w:color="auto" w:fill="auto"/>
            <w:vAlign w:val="center"/>
          </w:tcPr>
          <w:p w14:paraId="6FC0AFBC"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cs/>
              </w:rPr>
              <w:t>‎</w:t>
            </w:r>
            <w:r w:rsidRPr="00C85ED3">
              <w:rPr>
                <w:color w:val="000000" w:themeColor="text1"/>
                <w:sz w:val="22"/>
                <w:szCs w:val="22"/>
                <w:rtl/>
              </w:rPr>
              <w:t>0</w:t>
            </w:r>
            <w:r w:rsidRPr="00C85ED3">
              <w:rPr>
                <w:color w:val="000000" w:themeColor="text1"/>
                <w:sz w:val="22"/>
                <w:szCs w:val="22"/>
                <w:rtl/>
                <w:cs/>
              </w:rPr>
              <w:t>‎</w:t>
            </w:r>
          </w:p>
        </w:tc>
      </w:tr>
      <w:tr w:rsidR="009C4D0A" w:rsidRPr="00C85ED3" w14:paraId="15C575A2" w14:textId="77777777" w:rsidTr="00C85ED3">
        <w:trPr>
          <w:trHeight w:val="20"/>
          <w:jc w:val="center"/>
        </w:trPr>
        <w:tc>
          <w:tcPr>
            <w:tcW w:w="2938" w:type="pct"/>
          </w:tcPr>
          <w:p w14:paraId="21EC135C" w14:textId="77777777" w:rsidR="00661D98" w:rsidRPr="00C85ED3" w:rsidRDefault="00661D98" w:rsidP="00C85ED3">
            <w:pPr>
              <w:spacing w:line="211" w:lineRule="auto"/>
              <w:jc w:val="lowKashida"/>
              <w:rPr>
                <w:color w:val="000000" w:themeColor="text1"/>
                <w:sz w:val="22"/>
                <w:szCs w:val="22"/>
                <w:rtl/>
                <w:lang w:bidi="ar-EG"/>
              </w:rPr>
            </w:pPr>
            <w:r w:rsidRPr="00C85ED3">
              <w:rPr>
                <w:rFonts w:hint="cs"/>
                <w:color w:val="000000" w:themeColor="text1"/>
                <w:sz w:val="22"/>
                <w:szCs w:val="22"/>
                <w:rtl/>
              </w:rPr>
              <w:t>يحقق الإفصاح عن الدخل الشامل خاصية الملاءمة بتوفير معلومات ملائمة للقرارات وفى التوقيت المناسب ومن ثم تعزيز كفاءة سوق الأوراق المالية</w:t>
            </w:r>
            <w:r w:rsidRPr="00C85ED3">
              <w:rPr>
                <w:rFonts w:hint="cs"/>
                <w:color w:val="000000" w:themeColor="text1"/>
                <w:sz w:val="22"/>
                <w:szCs w:val="22"/>
                <w:rtl/>
                <w:lang w:bidi="ar-EG"/>
              </w:rPr>
              <w:t>.</w:t>
            </w:r>
          </w:p>
        </w:tc>
        <w:tc>
          <w:tcPr>
            <w:tcW w:w="400" w:type="pct"/>
            <w:shd w:val="clear" w:color="auto" w:fill="auto"/>
            <w:vAlign w:val="center"/>
          </w:tcPr>
          <w:p w14:paraId="78AF68EA"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4.2</w:t>
            </w:r>
          </w:p>
        </w:tc>
        <w:tc>
          <w:tcPr>
            <w:tcW w:w="392" w:type="pct"/>
            <w:shd w:val="clear" w:color="auto" w:fill="auto"/>
            <w:vAlign w:val="center"/>
          </w:tcPr>
          <w:p w14:paraId="7C58D78F"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0.71</w:t>
            </w:r>
          </w:p>
        </w:tc>
        <w:tc>
          <w:tcPr>
            <w:tcW w:w="385" w:type="pct"/>
            <w:shd w:val="clear" w:color="auto" w:fill="auto"/>
            <w:vAlign w:val="center"/>
          </w:tcPr>
          <w:p w14:paraId="77528135"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الموافقة تماماً</w:t>
            </w:r>
          </w:p>
        </w:tc>
        <w:tc>
          <w:tcPr>
            <w:tcW w:w="355" w:type="pct"/>
            <w:shd w:val="clear" w:color="auto" w:fill="auto"/>
            <w:vAlign w:val="center"/>
          </w:tcPr>
          <w:p w14:paraId="3333BCA0"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11.41</w:t>
            </w:r>
          </w:p>
        </w:tc>
        <w:tc>
          <w:tcPr>
            <w:tcW w:w="531" w:type="pct"/>
            <w:shd w:val="clear" w:color="auto" w:fill="auto"/>
            <w:vAlign w:val="center"/>
          </w:tcPr>
          <w:p w14:paraId="62D80F07"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cs/>
              </w:rPr>
              <w:t>‎</w:t>
            </w:r>
            <w:r w:rsidRPr="00C85ED3">
              <w:rPr>
                <w:color w:val="000000" w:themeColor="text1"/>
                <w:sz w:val="22"/>
                <w:szCs w:val="22"/>
                <w:rtl/>
              </w:rPr>
              <w:t>0</w:t>
            </w:r>
            <w:r w:rsidRPr="00C85ED3">
              <w:rPr>
                <w:color w:val="000000" w:themeColor="text1"/>
                <w:sz w:val="22"/>
                <w:szCs w:val="22"/>
                <w:rtl/>
                <w:cs/>
              </w:rPr>
              <w:t>‎</w:t>
            </w:r>
          </w:p>
        </w:tc>
      </w:tr>
      <w:tr w:rsidR="009C4D0A" w:rsidRPr="00C85ED3" w14:paraId="76CB6874" w14:textId="77777777" w:rsidTr="00C85ED3">
        <w:trPr>
          <w:trHeight w:val="20"/>
          <w:jc w:val="center"/>
        </w:trPr>
        <w:tc>
          <w:tcPr>
            <w:tcW w:w="2938" w:type="pct"/>
          </w:tcPr>
          <w:p w14:paraId="533E8584" w14:textId="77777777" w:rsidR="00661D98" w:rsidRPr="00C85ED3" w:rsidRDefault="00661D98" w:rsidP="00C85ED3">
            <w:pPr>
              <w:spacing w:line="211" w:lineRule="auto"/>
              <w:jc w:val="lowKashida"/>
              <w:rPr>
                <w:color w:val="000000" w:themeColor="text1"/>
                <w:sz w:val="22"/>
                <w:szCs w:val="22"/>
                <w:rtl/>
                <w:lang w:bidi="ar-EG"/>
              </w:rPr>
            </w:pPr>
            <w:r w:rsidRPr="00C85ED3">
              <w:rPr>
                <w:rFonts w:hint="cs"/>
                <w:color w:val="000000" w:themeColor="text1"/>
                <w:sz w:val="22"/>
                <w:szCs w:val="22"/>
                <w:rtl/>
              </w:rPr>
              <w:t xml:space="preserve">يساعد الإفصاح عن الدخل الشامل المستثمرين والدائنين </w:t>
            </w:r>
            <w:proofErr w:type="spellStart"/>
            <w:r w:rsidRPr="00C85ED3">
              <w:rPr>
                <w:rFonts w:hint="cs"/>
                <w:color w:val="000000" w:themeColor="text1"/>
                <w:sz w:val="22"/>
                <w:szCs w:val="22"/>
                <w:rtl/>
              </w:rPr>
              <w:t>فى</w:t>
            </w:r>
            <w:proofErr w:type="spellEnd"/>
            <w:r w:rsidRPr="00C85ED3">
              <w:rPr>
                <w:rFonts w:hint="cs"/>
                <w:color w:val="000000" w:themeColor="text1"/>
                <w:sz w:val="22"/>
                <w:szCs w:val="22"/>
                <w:rtl/>
              </w:rPr>
              <w:t xml:space="preserve"> التنبؤ بمدى قدرة المنشأة على الوفاء بالتزاماتها </w:t>
            </w:r>
            <w:proofErr w:type="spellStart"/>
            <w:r w:rsidRPr="00C85ED3">
              <w:rPr>
                <w:rFonts w:hint="cs"/>
                <w:color w:val="000000" w:themeColor="text1"/>
                <w:sz w:val="22"/>
                <w:szCs w:val="22"/>
                <w:rtl/>
              </w:rPr>
              <w:t>فى</w:t>
            </w:r>
            <w:proofErr w:type="spellEnd"/>
            <w:r w:rsidRPr="00C85ED3">
              <w:rPr>
                <w:rFonts w:hint="cs"/>
                <w:color w:val="000000" w:themeColor="text1"/>
                <w:sz w:val="22"/>
                <w:szCs w:val="22"/>
                <w:rtl/>
              </w:rPr>
              <w:t xml:space="preserve"> الوقت المحدد.</w:t>
            </w:r>
          </w:p>
        </w:tc>
        <w:tc>
          <w:tcPr>
            <w:tcW w:w="400" w:type="pct"/>
            <w:shd w:val="clear" w:color="auto" w:fill="auto"/>
            <w:vAlign w:val="center"/>
          </w:tcPr>
          <w:p w14:paraId="2095059A"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4.2</w:t>
            </w:r>
          </w:p>
        </w:tc>
        <w:tc>
          <w:tcPr>
            <w:tcW w:w="392" w:type="pct"/>
            <w:shd w:val="clear" w:color="auto" w:fill="auto"/>
            <w:vAlign w:val="center"/>
          </w:tcPr>
          <w:p w14:paraId="1004A6F6"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0.75</w:t>
            </w:r>
          </w:p>
        </w:tc>
        <w:tc>
          <w:tcPr>
            <w:tcW w:w="385" w:type="pct"/>
            <w:shd w:val="clear" w:color="auto" w:fill="auto"/>
            <w:vAlign w:val="center"/>
          </w:tcPr>
          <w:p w14:paraId="1D85DFD2"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الموافقة تماماً</w:t>
            </w:r>
          </w:p>
        </w:tc>
        <w:tc>
          <w:tcPr>
            <w:tcW w:w="355" w:type="pct"/>
            <w:shd w:val="clear" w:color="auto" w:fill="auto"/>
            <w:vAlign w:val="center"/>
          </w:tcPr>
          <w:p w14:paraId="33E83476"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11.42</w:t>
            </w:r>
          </w:p>
        </w:tc>
        <w:tc>
          <w:tcPr>
            <w:tcW w:w="531" w:type="pct"/>
            <w:shd w:val="clear" w:color="auto" w:fill="auto"/>
            <w:vAlign w:val="center"/>
          </w:tcPr>
          <w:p w14:paraId="6E315D0B"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cs/>
              </w:rPr>
              <w:t>‎</w:t>
            </w:r>
            <w:r w:rsidRPr="00C85ED3">
              <w:rPr>
                <w:color w:val="000000" w:themeColor="text1"/>
                <w:sz w:val="22"/>
                <w:szCs w:val="22"/>
                <w:rtl/>
              </w:rPr>
              <w:t>0</w:t>
            </w:r>
            <w:r w:rsidRPr="00C85ED3">
              <w:rPr>
                <w:color w:val="000000" w:themeColor="text1"/>
                <w:sz w:val="22"/>
                <w:szCs w:val="22"/>
                <w:rtl/>
                <w:cs/>
              </w:rPr>
              <w:t>‎</w:t>
            </w:r>
          </w:p>
        </w:tc>
      </w:tr>
      <w:tr w:rsidR="009C4D0A" w:rsidRPr="00C85ED3" w14:paraId="0E566925" w14:textId="77777777" w:rsidTr="00C85ED3">
        <w:trPr>
          <w:trHeight w:val="20"/>
          <w:jc w:val="center"/>
        </w:trPr>
        <w:tc>
          <w:tcPr>
            <w:tcW w:w="2938" w:type="pct"/>
          </w:tcPr>
          <w:p w14:paraId="747314E9" w14:textId="77777777" w:rsidR="00661D98" w:rsidRPr="00C85ED3" w:rsidRDefault="00661D98" w:rsidP="00C85ED3">
            <w:pPr>
              <w:spacing w:line="211" w:lineRule="auto"/>
              <w:jc w:val="lowKashida"/>
              <w:rPr>
                <w:color w:val="000000" w:themeColor="text1"/>
                <w:sz w:val="22"/>
                <w:szCs w:val="22"/>
                <w:rtl/>
                <w:lang w:bidi="ar-EG"/>
              </w:rPr>
            </w:pPr>
            <w:r w:rsidRPr="00C85ED3">
              <w:rPr>
                <w:rFonts w:hint="cs"/>
                <w:color w:val="000000" w:themeColor="text1"/>
                <w:sz w:val="22"/>
                <w:szCs w:val="22"/>
                <w:rtl/>
              </w:rPr>
              <w:t>يوفر الإفصاح عن الدخل الشامل تحليلاً تعتمد عليه الإدارة في اتخاذ القرارات الاستثمارية والائتمانية.</w:t>
            </w:r>
          </w:p>
        </w:tc>
        <w:tc>
          <w:tcPr>
            <w:tcW w:w="400" w:type="pct"/>
            <w:shd w:val="clear" w:color="auto" w:fill="auto"/>
            <w:vAlign w:val="center"/>
          </w:tcPr>
          <w:p w14:paraId="7DF628B3"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4.1</w:t>
            </w:r>
          </w:p>
        </w:tc>
        <w:tc>
          <w:tcPr>
            <w:tcW w:w="392" w:type="pct"/>
            <w:shd w:val="clear" w:color="auto" w:fill="auto"/>
            <w:vAlign w:val="center"/>
          </w:tcPr>
          <w:p w14:paraId="6784572E"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0.76</w:t>
            </w:r>
          </w:p>
        </w:tc>
        <w:tc>
          <w:tcPr>
            <w:tcW w:w="385" w:type="pct"/>
            <w:shd w:val="clear" w:color="auto" w:fill="auto"/>
            <w:vAlign w:val="center"/>
          </w:tcPr>
          <w:p w14:paraId="5B117F2A"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الموافقة</w:t>
            </w:r>
          </w:p>
        </w:tc>
        <w:tc>
          <w:tcPr>
            <w:tcW w:w="355" w:type="pct"/>
            <w:shd w:val="clear" w:color="auto" w:fill="auto"/>
            <w:vAlign w:val="center"/>
          </w:tcPr>
          <w:p w14:paraId="494846F9"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10.21</w:t>
            </w:r>
          </w:p>
        </w:tc>
        <w:tc>
          <w:tcPr>
            <w:tcW w:w="531" w:type="pct"/>
            <w:shd w:val="clear" w:color="auto" w:fill="auto"/>
            <w:vAlign w:val="center"/>
          </w:tcPr>
          <w:p w14:paraId="74D79AB1"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cs/>
              </w:rPr>
              <w:t>‎</w:t>
            </w:r>
            <w:r w:rsidRPr="00C85ED3">
              <w:rPr>
                <w:color w:val="000000" w:themeColor="text1"/>
                <w:sz w:val="22"/>
                <w:szCs w:val="22"/>
                <w:rtl/>
              </w:rPr>
              <w:t>0</w:t>
            </w:r>
            <w:r w:rsidRPr="00C85ED3">
              <w:rPr>
                <w:color w:val="000000" w:themeColor="text1"/>
                <w:sz w:val="22"/>
                <w:szCs w:val="22"/>
                <w:rtl/>
                <w:cs/>
              </w:rPr>
              <w:t>‎</w:t>
            </w:r>
          </w:p>
        </w:tc>
      </w:tr>
      <w:tr w:rsidR="009C4D0A" w:rsidRPr="00C85ED3" w14:paraId="7A53E60F" w14:textId="77777777" w:rsidTr="00C85ED3">
        <w:trPr>
          <w:trHeight w:val="20"/>
          <w:jc w:val="center"/>
        </w:trPr>
        <w:tc>
          <w:tcPr>
            <w:tcW w:w="2938" w:type="pct"/>
          </w:tcPr>
          <w:p w14:paraId="240C7933" w14:textId="77777777" w:rsidR="00661D98" w:rsidRPr="00C85ED3" w:rsidRDefault="00661D98" w:rsidP="00C85ED3">
            <w:pPr>
              <w:spacing w:line="211" w:lineRule="auto"/>
              <w:jc w:val="lowKashida"/>
              <w:rPr>
                <w:color w:val="000000" w:themeColor="text1"/>
                <w:sz w:val="22"/>
                <w:szCs w:val="22"/>
                <w:rtl/>
                <w:lang w:bidi="ar-EG"/>
              </w:rPr>
            </w:pPr>
            <w:r w:rsidRPr="00C85ED3">
              <w:rPr>
                <w:rFonts w:hint="cs"/>
                <w:color w:val="000000" w:themeColor="text1"/>
                <w:sz w:val="22"/>
                <w:szCs w:val="22"/>
                <w:rtl/>
              </w:rPr>
              <w:t xml:space="preserve">يعد المحتوى </w:t>
            </w:r>
            <w:proofErr w:type="spellStart"/>
            <w:r w:rsidRPr="00C85ED3">
              <w:rPr>
                <w:rFonts w:hint="cs"/>
                <w:color w:val="000000" w:themeColor="text1"/>
                <w:sz w:val="22"/>
                <w:szCs w:val="22"/>
                <w:rtl/>
              </w:rPr>
              <w:t>المعلوماتى</w:t>
            </w:r>
            <w:proofErr w:type="spellEnd"/>
            <w:r w:rsidRPr="00C85ED3">
              <w:rPr>
                <w:rFonts w:hint="cs"/>
                <w:color w:val="000000" w:themeColor="text1"/>
                <w:sz w:val="22"/>
                <w:szCs w:val="22"/>
                <w:rtl/>
              </w:rPr>
              <w:t xml:space="preserve"> لبنود الدخل الشامل الآخر من أهم مصادر المعلومات المفيدة للمحللين الماليين.</w:t>
            </w:r>
          </w:p>
        </w:tc>
        <w:tc>
          <w:tcPr>
            <w:tcW w:w="400" w:type="pct"/>
            <w:shd w:val="clear" w:color="auto" w:fill="auto"/>
            <w:vAlign w:val="center"/>
          </w:tcPr>
          <w:p w14:paraId="0D925B51"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4.1</w:t>
            </w:r>
          </w:p>
        </w:tc>
        <w:tc>
          <w:tcPr>
            <w:tcW w:w="392" w:type="pct"/>
            <w:shd w:val="clear" w:color="auto" w:fill="auto"/>
            <w:vAlign w:val="center"/>
          </w:tcPr>
          <w:p w14:paraId="42C5F856"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0.81</w:t>
            </w:r>
          </w:p>
        </w:tc>
        <w:tc>
          <w:tcPr>
            <w:tcW w:w="385" w:type="pct"/>
            <w:shd w:val="clear" w:color="auto" w:fill="auto"/>
            <w:vAlign w:val="center"/>
          </w:tcPr>
          <w:p w14:paraId="3FD4C0C7"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الموافقة</w:t>
            </w:r>
          </w:p>
        </w:tc>
        <w:tc>
          <w:tcPr>
            <w:tcW w:w="355" w:type="pct"/>
            <w:shd w:val="clear" w:color="auto" w:fill="auto"/>
            <w:vAlign w:val="center"/>
          </w:tcPr>
          <w:p w14:paraId="5FF45B59"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9.73</w:t>
            </w:r>
          </w:p>
        </w:tc>
        <w:tc>
          <w:tcPr>
            <w:tcW w:w="531" w:type="pct"/>
            <w:shd w:val="clear" w:color="auto" w:fill="auto"/>
            <w:vAlign w:val="center"/>
          </w:tcPr>
          <w:p w14:paraId="3C6142FE"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cs/>
              </w:rPr>
              <w:t>‎</w:t>
            </w:r>
            <w:r w:rsidRPr="00C85ED3">
              <w:rPr>
                <w:color w:val="000000" w:themeColor="text1"/>
                <w:sz w:val="22"/>
                <w:szCs w:val="22"/>
                <w:rtl/>
              </w:rPr>
              <w:t>0</w:t>
            </w:r>
            <w:r w:rsidRPr="00C85ED3">
              <w:rPr>
                <w:color w:val="000000" w:themeColor="text1"/>
                <w:sz w:val="22"/>
                <w:szCs w:val="22"/>
                <w:rtl/>
                <w:cs/>
              </w:rPr>
              <w:t>‎</w:t>
            </w:r>
          </w:p>
        </w:tc>
      </w:tr>
      <w:tr w:rsidR="009C4D0A" w:rsidRPr="00C85ED3" w14:paraId="7C7C11EF" w14:textId="77777777" w:rsidTr="00C85ED3">
        <w:trPr>
          <w:trHeight w:val="20"/>
          <w:jc w:val="center"/>
        </w:trPr>
        <w:tc>
          <w:tcPr>
            <w:tcW w:w="2938" w:type="pct"/>
          </w:tcPr>
          <w:p w14:paraId="7FADBAD7" w14:textId="77777777" w:rsidR="00661D98" w:rsidRPr="00C85ED3" w:rsidRDefault="00661D98" w:rsidP="00C85ED3">
            <w:pPr>
              <w:spacing w:line="211" w:lineRule="auto"/>
              <w:jc w:val="lowKashida"/>
              <w:rPr>
                <w:color w:val="000000" w:themeColor="text1"/>
                <w:sz w:val="22"/>
                <w:szCs w:val="22"/>
                <w:rtl/>
                <w:lang w:bidi="ar-EG"/>
              </w:rPr>
            </w:pPr>
            <w:r w:rsidRPr="00C85ED3">
              <w:rPr>
                <w:rFonts w:hint="cs"/>
                <w:color w:val="000000" w:themeColor="text1"/>
                <w:sz w:val="22"/>
                <w:szCs w:val="22"/>
                <w:rtl/>
              </w:rPr>
              <w:t>يقلل الإفصاح عن الدخل الشامل من عدم تماثل المعلومات المتاحة بين الإدارة والمستثمرين.</w:t>
            </w:r>
          </w:p>
        </w:tc>
        <w:tc>
          <w:tcPr>
            <w:tcW w:w="400" w:type="pct"/>
            <w:shd w:val="clear" w:color="auto" w:fill="auto"/>
            <w:vAlign w:val="center"/>
          </w:tcPr>
          <w:p w14:paraId="46E5D1CD"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4.1</w:t>
            </w:r>
          </w:p>
        </w:tc>
        <w:tc>
          <w:tcPr>
            <w:tcW w:w="392" w:type="pct"/>
            <w:shd w:val="clear" w:color="auto" w:fill="auto"/>
            <w:vAlign w:val="center"/>
          </w:tcPr>
          <w:p w14:paraId="79AE7D83"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0.73</w:t>
            </w:r>
          </w:p>
        </w:tc>
        <w:tc>
          <w:tcPr>
            <w:tcW w:w="385" w:type="pct"/>
            <w:shd w:val="clear" w:color="auto" w:fill="auto"/>
            <w:vAlign w:val="center"/>
          </w:tcPr>
          <w:p w14:paraId="3611F4D7"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الموافقة</w:t>
            </w:r>
          </w:p>
        </w:tc>
        <w:tc>
          <w:tcPr>
            <w:tcW w:w="355" w:type="pct"/>
            <w:shd w:val="clear" w:color="auto" w:fill="auto"/>
            <w:vAlign w:val="center"/>
          </w:tcPr>
          <w:p w14:paraId="69EAA575"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10.14</w:t>
            </w:r>
          </w:p>
        </w:tc>
        <w:tc>
          <w:tcPr>
            <w:tcW w:w="531" w:type="pct"/>
            <w:shd w:val="clear" w:color="auto" w:fill="auto"/>
            <w:vAlign w:val="center"/>
          </w:tcPr>
          <w:p w14:paraId="69DA7309"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cs/>
              </w:rPr>
              <w:t>‎</w:t>
            </w:r>
            <w:r w:rsidRPr="00C85ED3">
              <w:rPr>
                <w:color w:val="000000" w:themeColor="text1"/>
                <w:sz w:val="22"/>
                <w:szCs w:val="22"/>
                <w:rtl/>
              </w:rPr>
              <w:t>0</w:t>
            </w:r>
            <w:r w:rsidRPr="00C85ED3">
              <w:rPr>
                <w:color w:val="000000" w:themeColor="text1"/>
                <w:sz w:val="22"/>
                <w:szCs w:val="22"/>
                <w:rtl/>
                <w:cs/>
              </w:rPr>
              <w:t>‎</w:t>
            </w:r>
          </w:p>
        </w:tc>
      </w:tr>
      <w:tr w:rsidR="009C4D0A" w:rsidRPr="00C85ED3" w14:paraId="19C32341" w14:textId="77777777" w:rsidTr="00C85ED3">
        <w:trPr>
          <w:trHeight w:val="20"/>
          <w:jc w:val="center"/>
        </w:trPr>
        <w:tc>
          <w:tcPr>
            <w:tcW w:w="2938" w:type="pct"/>
          </w:tcPr>
          <w:p w14:paraId="3EC8ECB8" w14:textId="77777777" w:rsidR="00661D98" w:rsidRPr="00C85ED3" w:rsidRDefault="00661D98" w:rsidP="00C85ED3">
            <w:pPr>
              <w:spacing w:line="211" w:lineRule="auto"/>
              <w:jc w:val="lowKashida"/>
              <w:rPr>
                <w:color w:val="000000" w:themeColor="text1"/>
                <w:spacing w:val="-4"/>
                <w:sz w:val="22"/>
                <w:szCs w:val="22"/>
                <w:rtl/>
                <w:lang w:bidi="ar-EG"/>
              </w:rPr>
            </w:pPr>
            <w:r w:rsidRPr="00C85ED3">
              <w:rPr>
                <w:rFonts w:hint="cs"/>
                <w:color w:val="000000" w:themeColor="text1"/>
                <w:spacing w:val="-4"/>
                <w:sz w:val="22"/>
                <w:szCs w:val="22"/>
                <w:rtl/>
              </w:rPr>
              <w:t xml:space="preserve">تتأثر بنود الدخل الشامل بمجموعة من المخاطر النظامية مثل التغير </w:t>
            </w:r>
            <w:proofErr w:type="spellStart"/>
            <w:r w:rsidRPr="00C85ED3">
              <w:rPr>
                <w:rFonts w:hint="cs"/>
                <w:color w:val="000000" w:themeColor="text1"/>
                <w:spacing w:val="-4"/>
                <w:sz w:val="22"/>
                <w:szCs w:val="22"/>
                <w:rtl/>
              </w:rPr>
              <w:t>فى</w:t>
            </w:r>
            <w:proofErr w:type="spellEnd"/>
            <w:r w:rsidRPr="00C85ED3">
              <w:rPr>
                <w:rFonts w:hint="cs"/>
                <w:color w:val="000000" w:themeColor="text1"/>
                <w:spacing w:val="-4"/>
                <w:sz w:val="22"/>
                <w:szCs w:val="22"/>
                <w:rtl/>
              </w:rPr>
              <w:t xml:space="preserve"> القيمة الشرائية للنقود وتغيرات أسعار الصرف وتغيرات أسعار الفائدة والتضخم.</w:t>
            </w:r>
          </w:p>
        </w:tc>
        <w:tc>
          <w:tcPr>
            <w:tcW w:w="400" w:type="pct"/>
            <w:shd w:val="clear" w:color="auto" w:fill="auto"/>
            <w:vAlign w:val="center"/>
          </w:tcPr>
          <w:p w14:paraId="3D2E2217"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4.2</w:t>
            </w:r>
          </w:p>
        </w:tc>
        <w:tc>
          <w:tcPr>
            <w:tcW w:w="392" w:type="pct"/>
            <w:shd w:val="clear" w:color="auto" w:fill="auto"/>
            <w:vAlign w:val="center"/>
          </w:tcPr>
          <w:p w14:paraId="2DDE9EA1"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0.71</w:t>
            </w:r>
          </w:p>
        </w:tc>
        <w:tc>
          <w:tcPr>
            <w:tcW w:w="385" w:type="pct"/>
            <w:shd w:val="clear" w:color="auto" w:fill="auto"/>
            <w:vAlign w:val="center"/>
          </w:tcPr>
          <w:p w14:paraId="50784AE6" w14:textId="77777777" w:rsidR="00661D98" w:rsidRPr="00C85ED3" w:rsidRDefault="00661D98" w:rsidP="00C85ED3">
            <w:pPr>
              <w:spacing w:line="211" w:lineRule="auto"/>
              <w:jc w:val="center"/>
              <w:rPr>
                <w:color w:val="000000" w:themeColor="text1"/>
                <w:sz w:val="22"/>
                <w:szCs w:val="22"/>
                <w:rtl/>
              </w:rPr>
            </w:pPr>
            <w:r w:rsidRPr="00C85ED3">
              <w:rPr>
                <w:color w:val="000000" w:themeColor="text1"/>
                <w:sz w:val="22"/>
                <w:szCs w:val="22"/>
                <w:rtl/>
              </w:rPr>
              <w:t>الموافقة تماماً</w:t>
            </w:r>
          </w:p>
        </w:tc>
        <w:tc>
          <w:tcPr>
            <w:tcW w:w="355" w:type="pct"/>
            <w:shd w:val="clear" w:color="auto" w:fill="auto"/>
            <w:vAlign w:val="center"/>
          </w:tcPr>
          <w:p w14:paraId="31DE2D2D"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11.41</w:t>
            </w:r>
          </w:p>
        </w:tc>
        <w:tc>
          <w:tcPr>
            <w:tcW w:w="531" w:type="pct"/>
            <w:shd w:val="clear" w:color="auto" w:fill="auto"/>
            <w:vAlign w:val="center"/>
          </w:tcPr>
          <w:p w14:paraId="3377E619"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cs/>
              </w:rPr>
              <w:t>‎</w:t>
            </w:r>
            <w:r w:rsidRPr="00C85ED3">
              <w:rPr>
                <w:color w:val="000000" w:themeColor="text1"/>
                <w:sz w:val="22"/>
                <w:szCs w:val="22"/>
                <w:rtl/>
              </w:rPr>
              <w:t>0</w:t>
            </w:r>
            <w:r w:rsidRPr="00C85ED3">
              <w:rPr>
                <w:color w:val="000000" w:themeColor="text1"/>
                <w:sz w:val="22"/>
                <w:szCs w:val="22"/>
                <w:rtl/>
                <w:cs/>
              </w:rPr>
              <w:t>‎</w:t>
            </w:r>
          </w:p>
        </w:tc>
      </w:tr>
      <w:tr w:rsidR="009C4D0A" w:rsidRPr="00C85ED3" w14:paraId="13F51989" w14:textId="77777777" w:rsidTr="00C85ED3">
        <w:trPr>
          <w:trHeight w:val="20"/>
          <w:jc w:val="center"/>
        </w:trPr>
        <w:tc>
          <w:tcPr>
            <w:tcW w:w="2938" w:type="pct"/>
          </w:tcPr>
          <w:p w14:paraId="6E2C23BE" w14:textId="77777777" w:rsidR="00661D98" w:rsidRPr="00C85ED3" w:rsidRDefault="00661D98" w:rsidP="00C85ED3">
            <w:pPr>
              <w:jc w:val="lowKashida"/>
              <w:rPr>
                <w:color w:val="000000" w:themeColor="text1"/>
                <w:sz w:val="22"/>
                <w:szCs w:val="22"/>
                <w:rtl/>
                <w:lang w:bidi="ar-EG"/>
              </w:rPr>
            </w:pPr>
            <w:r w:rsidRPr="00C85ED3">
              <w:rPr>
                <w:rFonts w:hint="cs"/>
                <w:color w:val="000000" w:themeColor="text1"/>
                <w:sz w:val="22"/>
                <w:szCs w:val="22"/>
                <w:rtl/>
              </w:rPr>
              <w:t>اعداد نظم حوافز الإدارة على أساس الدخل الشامل يؤدى إلى إجبار الإدارة على الاحتياط لكافة العوامل التي تؤثر على قيمة المنشأة.</w:t>
            </w:r>
          </w:p>
        </w:tc>
        <w:tc>
          <w:tcPr>
            <w:tcW w:w="400" w:type="pct"/>
            <w:shd w:val="clear" w:color="auto" w:fill="auto"/>
            <w:vAlign w:val="center"/>
          </w:tcPr>
          <w:p w14:paraId="2E641388" w14:textId="77777777" w:rsidR="00661D98" w:rsidRPr="00C85ED3" w:rsidRDefault="00661D98" w:rsidP="00C85ED3">
            <w:pPr>
              <w:bidi w:val="0"/>
              <w:jc w:val="center"/>
              <w:rPr>
                <w:color w:val="000000" w:themeColor="text1"/>
                <w:sz w:val="22"/>
                <w:szCs w:val="22"/>
                <w:rtl/>
              </w:rPr>
            </w:pPr>
            <w:r w:rsidRPr="00C85ED3">
              <w:rPr>
                <w:color w:val="000000" w:themeColor="text1"/>
                <w:sz w:val="22"/>
                <w:szCs w:val="22"/>
                <w:rtl/>
              </w:rPr>
              <w:t>3.9</w:t>
            </w:r>
          </w:p>
        </w:tc>
        <w:tc>
          <w:tcPr>
            <w:tcW w:w="392" w:type="pct"/>
            <w:shd w:val="clear" w:color="auto" w:fill="auto"/>
            <w:vAlign w:val="center"/>
          </w:tcPr>
          <w:p w14:paraId="504E0446" w14:textId="77777777" w:rsidR="00661D98" w:rsidRPr="00C85ED3" w:rsidRDefault="00661D98" w:rsidP="00C85ED3">
            <w:pPr>
              <w:bidi w:val="0"/>
              <w:jc w:val="center"/>
              <w:rPr>
                <w:color w:val="000000" w:themeColor="text1"/>
                <w:sz w:val="22"/>
                <w:szCs w:val="22"/>
                <w:rtl/>
              </w:rPr>
            </w:pPr>
            <w:r w:rsidRPr="00C85ED3">
              <w:rPr>
                <w:color w:val="000000" w:themeColor="text1"/>
                <w:sz w:val="22"/>
                <w:szCs w:val="22"/>
                <w:rtl/>
              </w:rPr>
              <w:t>0.9</w:t>
            </w:r>
          </w:p>
        </w:tc>
        <w:tc>
          <w:tcPr>
            <w:tcW w:w="385" w:type="pct"/>
            <w:shd w:val="clear" w:color="auto" w:fill="auto"/>
            <w:vAlign w:val="center"/>
          </w:tcPr>
          <w:p w14:paraId="5C06D04A" w14:textId="77777777" w:rsidR="00661D98" w:rsidRPr="00C85ED3" w:rsidRDefault="00661D98" w:rsidP="00C85ED3">
            <w:pPr>
              <w:jc w:val="center"/>
              <w:rPr>
                <w:color w:val="000000" w:themeColor="text1"/>
                <w:sz w:val="22"/>
                <w:szCs w:val="22"/>
                <w:rtl/>
              </w:rPr>
            </w:pPr>
            <w:r w:rsidRPr="00C85ED3">
              <w:rPr>
                <w:color w:val="000000" w:themeColor="text1"/>
                <w:sz w:val="22"/>
                <w:szCs w:val="22"/>
                <w:rtl/>
              </w:rPr>
              <w:t>الموافقة</w:t>
            </w:r>
          </w:p>
        </w:tc>
        <w:tc>
          <w:tcPr>
            <w:tcW w:w="355" w:type="pct"/>
            <w:shd w:val="clear" w:color="auto" w:fill="auto"/>
            <w:vAlign w:val="center"/>
          </w:tcPr>
          <w:p w14:paraId="0C717F14" w14:textId="77777777" w:rsidR="00661D98" w:rsidRPr="00C85ED3" w:rsidRDefault="00661D98" w:rsidP="00C85ED3">
            <w:pPr>
              <w:bidi w:val="0"/>
              <w:jc w:val="center"/>
              <w:rPr>
                <w:color w:val="000000" w:themeColor="text1"/>
                <w:sz w:val="22"/>
                <w:szCs w:val="22"/>
                <w:rtl/>
              </w:rPr>
            </w:pPr>
            <w:r w:rsidRPr="00C85ED3">
              <w:rPr>
                <w:color w:val="000000" w:themeColor="text1"/>
                <w:sz w:val="22"/>
                <w:szCs w:val="22"/>
                <w:rtl/>
              </w:rPr>
              <w:t>5.82</w:t>
            </w:r>
          </w:p>
        </w:tc>
        <w:tc>
          <w:tcPr>
            <w:tcW w:w="531" w:type="pct"/>
            <w:shd w:val="clear" w:color="auto" w:fill="auto"/>
            <w:vAlign w:val="center"/>
          </w:tcPr>
          <w:p w14:paraId="7924CDB9" w14:textId="77777777" w:rsidR="00661D98" w:rsidRPr="00C85ED3" w:rsidRDefault="00661D98" w:rsidP="00C85ED3">
            <w:pPr>
              <w:bidi w:val="0"/>
              <w:jc w:val="center"/>
              <w:rPr>
                <w:color w:val="000000" w:themeColor="text1"/>
                <w:sz w:val="22"/>
                <w:szCs w:val="22"/>
                <w:rtl/>
              </w:rPr>
            </w:pPr>
            <w:r w:rsidRPr="00C85ED3">
              <w:rPr>
                <w:color w:val="000000" w:themeColor="text1"/>
                <w:sz w:val="22"/>
                <w:szCs w:val="22"/>
                <w:rtl/>
                <w:cs/>
              </w:rPr>
              <w:t>‎</w:t>
            </w:r>
            <w:r w:rsidRPr="00C85ED3">
              <w:rPr>
                <w:color w:val="000000" w:themeColor="text1"/>
                <w:sz w:val="22"/>
                <w:szCs w:val="22"/>
                <w:rtl/>
              </w:rPr>
              <w:t>0</w:t>
            </w:r>
            <w:r w:rsidRPr="00C85ED3">
              <w:rPr>
                <w:color w:val="000000" w:themeColor="text1"/>
                <w:sz w:val="22"/>
                <w:szCs w:val="22"/>
                <w:rtl/>
                <w:cs/>
              </w:rPr>
              <w:t>‎</w:t>
            </w:r>
          </w:p>
        </w:tc>
      </w:tr>
      <w:tr w:rsidR="009C4D0A" w:rsidRPr="00C85ED3" w14:paraId="4FDC34DA" w14:textId="77777777" w:rsidTr="00C85ED3">
        <w:trPr>
          <w:trHeight w:val="20"/>
          <w:jc w:val="center"/>
        </w:trPr>
        <w:tc>
          <w:tcPr>
            <w:tcW w:w="2938" w:type="pct"/>
            <w:shd w:val="clear" w:color="auto" w:fill="D9D9D9" w:themeFill="background1" w:themeFillShade="D9"/>
          </w:tcPr>
          <w:p w14:paraId="3CE162D4" w14:textId="3207989D" w:rsidR="00661D98" w:rsidRPr="00C85ED3" w:rsidRDefault="00661D98" w:rsidP="00C85ED3">
            <w:pPr>
              <w:pStyle w:val="NoSpacing"/>
              <w:spacing w:line="211" w:lineRule="auto"/>
              <w:jc w:val="center"/>
              <w:rPr>
                <w:rFonts w:ascii="Times New Roman" w:hAnsi="Times New Roman" w:cs="Simplified Arabic"/>
                <w:color w:val="000000" w:themeColor="text1"/>
                <w:rtl/>
                <w:lang w:bidi="ar-EG"/>
              </w:rPr>
            </w:pPr>
            <w:r w:rsidRPr="00C85ED3">
              <w:rPr>
                <w:rFonts w:ascii="Times New Roman" w:hAnsi="Times New Roman" w:cs="Simplified Arabic" w:hint="cs"/>
                <w:color w:val="000000" w:themeColor="text1"/>
                <w:rtl/>
                <w:lang w:bidi="ar-EG"/>
              </w:rPr>
              <w:t>إجمالي المحور</w:t>
            </w:r>
          </w:p>
        </w:tc>
        <w:tc>
          <w:tcPr>
            <w:tcW w:w="400" w:type="pct"/>
            <w:shd w:val="clear" w:color="auto" w:fill="D9D9D9" w:themeFill="background1" w:themeFillShade="D9"/>
            <w:vAlign w:val="center"/>
          </w:tcPr>
          <w:p w14:paraId="2D99327D"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4.2</w:t>
            </w:r>
          </w:p>
        </w:tc>
        <w:tc>
          <w:tcPr>
            <w:tcW w:w="392" w:type="pct"/>
            <w:shd w:val="clear" w:color="auto" w:fill="D9D9D9" w:themeFill="background1" w:themeFillShade="D9"/>
            <w:vAlign w:val="center"/>
          </w:tcPr>
          <w:p w14:paraId="6932A639" w14:textId="77777777" w:rsidR="00661D98" w:rsidRPr="00C85ED3" w:rsidRDefault="00661D98" w:rsidP="00C85ED3">
            <w:pPr>
              <w:bidi w:val="0"/>
              <w:spacing w:line="211" w:lineRule="auto"/>
              <w:jc w:val="center"/>
              <w:rPr>
                <w:color w:val="000000" w:themeColor="text1"/>
                <w:sz w:val="22"/>
                <w:szCs w:val="22"/>
                <w:rtl/>
              </w:rPr>
            </w:pPr>
            <w:r w:rsidRPr="00C85ED3">
              <w:rPr>
                <w:color w:val="000000" w:themeColor="text1"/>
                <w:sz w:val="22"/>
                <w:szCs w:val="22"/>
                <w:rtl/>
              </w:rPr>
              <w:t>0.72</w:t>
            </w:r>
          </w:p>
        </w:tc>
        <w:tc>
          <w:tcPr>
            <w:tcW w:w="385" w:type="pct"/>
            <w:shd w:val="clear" w:color="auto" w:fill="D9D9D9" w:themeFill="background1" w:themeFillShade="D9"/>
            <w:vAlign w:val="center"/>
          </w:tcPr>
          <w:p w14:paraId="571FB71E" w14:textId="77777777" w:rsidR="00661D98" w:rsidRPr="00C85ED3" w:rsidRDefault="00661D98" w:rsidP="00C85ED3">
            <w:pPr>
              <w:spacing w:line="211" w:lineRule="auto"/>
              <w:jc w:val="center"/>
              <w:rPr>
                <w:color w:val="000000" w:themeColor="text1"/>
                <w:sz w:val="22"/>
                <w:szCs w:val="22"/>
                <w:rtl/>
              </w:rPr>
            </w:pPr>
          </w:p>
        </w:tc>
        <w:tc>
          <w:tcPr>
            <w:tcW w:w="355" w:type="pct"/>
            <w:shd w:val="clear" w:color="auto" w:fill="D9D9D9" w:themeFill="background1" w:themeFillShade="D9"/>
            <w:vAlign w:val="center"/>
          </w:tcPr>
          <w:p w14:paraId="76C0CEA4" w14:textId="77777777" w:rsidR="00661D98" w:rsidRPr="00C85ED3" w:rsidRDefault="00661D98" w:rsidP="00C85ED3">
            <w:pPr>
              <w:bidi w:val="0"/>
              <w:spacing w:line="211" w:lineRule="auto"/>
              <w:jc w:val="center"/>
              <w:rPr>
                <w:color w:val="000000" w:themeColor="text1"/>
                <w:sz w:val="22"/>
                <w:szCs w:val="22"/>
                <w:rtl/>
              </w:rPr>
            </w:pPr>
          </w:p>
        </w:tc>
        <w:tc>
          <w:tcPr>
            <w:tcW w:w="531" w:type="pct"/>
            <w:shd w:val="clear" w:color="auto" w:fill="D9D9D9" w:themeFill="background1" w:themeFillShade="D9"/>
            <w:vAlign w:val="center"/>
          </w:tcPr>
          <w:p w14:paraId="5DC45420" w14:textId="77777777" w:rsidR="00661D98" w:rsidRPr="00C85ED3" w:rsidRDefault="00661D98" w:rsidP="00C85ED3">
            <w:pPr>
              <w:bidi w:val="0"/>
              <w:spacing w:line="211" w:lineRule="auto"/>
              <w:jc w:val="center"/>
              <w:rPr>
                <w:color w:val="000000" w:themeColor="text1"/>
                <w:sz w:val="22"/>
                <w:szCs w:val="22"/>
                <w:rtl/>
              </w:rPr>
            </w:pPr>
          </w:p>
        </w:tc>
      </w:tr>
    </w:tbl>
    <w:p w14:paraId="4DE4783F" w14:textId="77777777" w:rsidR="00661D98" w:rsidRPr="00E24FBE" w:rsidRDefault="00661D98" w:rsidP="00C24E42">
      <w:pPr>
        <w:ind w:firstLine="720"/>
        <w:jc w:val="lowKashida"/>
        <w:rPr>
          <w:color w:val="000000" w:themeColor="text1"/>
          <w:sz w:val="26"/>
          <w:szCs w:val="26"/>
          <w:rtl/>
          <w:lang w:bidi="ar-EG"/>
        </w:rPr>
      </w:pPr>
      <w:r w:rsidRPr="00E24FBE">
        <w:rPr>
          <w:color w:val="000000" w:themeColor="text1"/>
          <w:sz w:val="26"/>
          <w:szCs w:val="26"/>
          <w:rtl/>
        </w:rPr>
        <w:lastRenderedPageBreak/>
        <w:t>يتضح من الجدول السابق أن مستوى الدلالة أقل من 0.05 مما يعني وجود دلالة معنوية أي أنه تمت الموافقة والموافقة</w:t>
      </w:r>
      <w:r w:rsidRPr="00E24FBE">
        <w:rPr>
          <w:rFonts w:hint="cs"/>
          <w:color w:val="000000" w:themeColor="text1"/>
          <w:sz w:val="26"/>
          <w:szCs w:val="26"/>
          <w:rtl/>
        </w:rPr>
        <w:t xml:space="preserve"> تمام</w:t>
      </w:r>
      <w:r w:rsidRPr="00E24FBE">
        <w:rPr>
          <w:color w:val="000000" w:themeColor="text1"/>
          <w:sz w:val="26"/>
          <w:szCs w:val="26"/>
          <w:rtl/>
        </w:rPr>
        <w:t>ا</w:t>
      </w:r>
      <w:r w:rsidRPr="00E24FBE">
        <w:rPr>
          <w:rFonts w:hint="cs"/>
          <w:color w:val="000000" w:themeColor="text1"/>
          <w:sz w:val="26"/>
          <w:szCs w:val="26"/>
          <w:rtl/>
        </w:rPr>
        <w:t>ً</w:t>
      </w:r>
      <w:r w:rsidRPr="00E24FBE">
        <w:rPr>
          <w:color w:val="000000" w:themeColor="text1"/>
          <w:sz w:val="26"/>
          <w:szCs w:val="26"/>
          <w:rtl/>
        </w:rPr>
        <w:t xml:space="preserve"> على جميع عناصر </w:t>
      </w:r>
      <w:r w:rsidRPr="00E24FBE">
        <w:rPr>
          <w:color w:val="000000" w:themeColor="text1"/>
          <w:sz w:val="26"/>
          <w:szCs w:val="26"/>
          <w:rtl/>
          <w:lang w:bidi="ar-EG"/>
        </w:rPr>
        <w:t>محور "</w:t>
      </w:r>
      <w:r w:rsidRPr="00E24FBE">
        <w:rPr>
          <w:b/>
          <w:bCs/>
          <w:color w:val="000000" w:themeColor="text1"/>
          <w:sz w:val="26"/>
          <w:szCs w:val="26"/>
          <w:rtl/>
          <w:lang w:bidi="ar-EG"/>
        </w:rPr>
        <w:t>توجد علاقة معنوية ذات دلالة إحصائية بين ‏الإفصاح ‏المحاسبي عن الدخل الشامل وكفاءة سوق الأوراق ‏المالية</w:t>
      </w:r>
      <w:r w:rsidRPr="00E24FBE">
        <w:rPr>
          <w:color w:val="000000" w:themeColor="text1"/>
          <w:sz w:val="26"/>
          <w:szCs w:val="26"/>
          <w:rtl/>
          <w:lang w:bidi="ar-EG"/>
        </w:rPr>
        <w:t>".</w:t>
      </w:r>
    </w:p>
    <w:p w14:paraId="05B00A28" w14:textId="14A819E5" w:rsidR="00C65B31" w:rsidRPr="00AB3071" w:rsidRDefault="00661D98" w:rsidP="00AB3071">
      <w:pPr>
        <w:jc w:val="center"/>
        <w:rPr>
          <w:b/>
          <w:bCs/>
          <w:color w:val="000000" w:themeColor="text1"/>
          <w:sz w:val="26"/>
          <w:szCs w:val="26"/>
          <w:rtl/>
        </w:rPr>
      </w:pPr>
      <w:r w:rsidRPr="00AB3071">
        <w:rPr>
          <w:rFonts w:eastAsiaTheme="minorEastAsia"/>
          <w:b/>
          <w:bCs/>
          <w:color w:val="000000" w:themeColor="text1"/>
          <w:sz w:val="26"/>
          <w:szCs w:val="26"/>
          <w:rtl/>
        </w:rPr>
        <w:t xml:space="preserve">جدول </w:t>
      </w:r>
      <w:r w:rsidRPr="00AB3071">
        <w:rPr>
          <w:rFonts w:eastAsiaTheme="minorEastAsia" w:hint="cs"/>
          <w:b/>
          <w:bCs/>
          <w:color w:val="000000" w:themeColor="text1"/>
          <w:sz w:val="26"/>
          <w:szCs w:val="26"/>
          <w:rtl/>
        </w:rPr>
        <w:t xml:space="preserve">رقم (9): </w:t>
      </w:r>
      <w:r w:rsidRPr="00AB3071">
        <w:rPr>
          <w:rFonts w:eastAsiaTheme="minorEastAsia"/>
          <w:b/>
          <w:bCs/>
          <w:color w:val="000000" w:themeColor="text1"/>
          <w:sz w:val="26"/>
          <w:szCs w:val="26"/>
          <w:rtl/>
        </w:rPr>
        <w:t xml:space="preserve">ترتيب الأهمية النسبية حول </w:t>
      </w:r>
      <w:r w:rsidR="00546853" w:rsidRPr="00AB3071">
        <w:rPr>
          <w:rFonts w:eastAsiaTheme="minorEastAsia" w:hint="cs"/>
          <w:b/>
          <w:bCs/>
          <w:color w:val="000000" w:themeColor="text1"/>
          <w:sz w:val="26"/>
          <w:szCs w:val="26"/>
          <w:rtl/>
        </w:rPr>
        <w:t>بيانات</w:t>
      </w:r>
      <w:r w:rsidRPr="00AB3071">
        <w:rPr>
          <w:rFonts w:eastAsiaTheme="minorEastAsia" w:hint="cs"/>
          <w:b/>
          <w:bCs/>
          <w:color w:val="000000" w:themeColor="text1"/>
          <w:sz w:val="26"/>
          <w:szCs w:val="26"/>
          <w:rtl/>
        </w:rPr>
        <w:t xml:space="preserve"> الفرض الأول</w:t>
      </w:r>
    </w:p>
    <w:tbl>
      <w:tblPr>
        <w:bidiVisual/>
        <w:tblW w:w="5419"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054"/>
        <w:gridCol w:w="704"/>
        <w:gridCol w:w="725"/>
        <w:gridCol w:w="1059"/>
        <w:gridCol w:w="798"/>
      </w:tblGrid>
      <w:tr w:rsidR="009C4D0A" w:rsidRPr="00C85ED3" w14:paraId="5D8801D6" w14:textId="77777777" w:rsidTr="00C85ED3">
        <w:trPr>
          <w:trHeight w:val="650"/>
          <w:tblHeader/>
          <w:jc w:val="center"/>
        </w:trPr>
        <w:tc>
          <w:tcPr>
            <w:tcW w:w="3240" w:type="pct"/>
            <w:shd w:val="thinDiagCross" w:color="D9D9D9" w:themeColor="background1" w:themeShade="D9" w:fill="FFFFFF" w:themeFill="background1"/>
            <w:vAlign w:val="center"/>
          </w:tcPr>
          <w:p w14:paraId="3977CD83" w14:textId="31F10CF9" w:rsidR="00661D98" w:rsidRPr="00C85ED3" w:rsidRDefault="00661D98" w:rsidP="00C85ED3">
            <w:pPr>
              <w:spacing w:line="216" w:lineRule="auto"/>
              <w:jc w:val="center"/>
              <w:rPr>
                <w:b/>
                <w:bCs/>
                <w:color w:val="000000" w:themeColor="text1"/>
                <w:sz w:val="22"/>
                <w:szCs w:val="22"/>
                <w:rtl/>
                <w:lang w:bidi="ar-EG"/>
              </w:rPr>
            </w:pPr>
            <w:r w:rsidRPr="00C85ED3">
              <w:rPr>
                <w:b/>
                <w:bCs/>
                <w:color w:val="000000" w:themeColor="text1"/>
                <w:sz w:val="22"/>
                <w:szCs w:val="22"/>
                <w:rtl/>
              </w:rPr>
              <w:t>بي</w:t>
            </w:r>
            <w:r w:rsidR="00C85ED3" w:rsidRPr="00C85ED3">
              <w:rPr>
                <w:rFonts w:hint="cs"/>
                <w:b/>
                <w:bCs/>
                <w:color w:val="000000" w:themeColor="text1"/>
                <w:sz w:val="22"/>
                <w:szCs w:val="22"/>
                <w:rtl/>
              </w:rPr>
              <w:t>ــــــــــــــــــــ</w:t>
            </w:r>
            <w:r w:rsidRPr="00C85ED3">
              <w:rPr>
                <w:b/>
                <w:bCs/>
                <w:color w:val="000000" w:themeColor="text1"/>
                <w:sz w:val="22"/>
                <w:szCs w:val="22"/>
                <w:rtl/>
              </w:rPr>
              <w:t>ان</w:t>
            </w:r>
          </w:p>
        </w:tc>
        <w:tc>
          <w:tcPr>
            <w:tcW w:w="377" w:type="pct"/>
            <w:shd w:val="thinDiagCross" w:color="D9D9D9" w:themeColor="background1" w:themeShade="D9" w:fill="FFFFFF" w:themeFill="background1"/>
            <w:vAlign w:val="center"/>
          </w:tcPr>
          <w:p w14:paraId="4413F03C" w14:textId="77777777" w:rsidR="00661D98" w:rsidRPr="00C85ED3" w:rsidRDefault="00661D98" w:rsidP="00C85ED3">
            <w:pPr>
              <w:bidi w:val="0"/>
              <w:spacing w:line="216" w:lineRule="auto"/>
              <w:jc w:val="center"/>
              <w:rPr>
                <w:b/>
                <w:bCs/>
                <w:color w:val="000000" w:themeColor="text1"/>
                <w:sz w:val="22"/>
                <w:szCs w:val="22"/>
                <w:rtl/>
              </w:rPr>
            </w:pPr>
            <w:r w:rsidRPr="00C85ED3">
              <w:rPr>
                <w:b/>
                <w:bCs/>
                <w:color w:val="000000" w:themeColor="text1"/>
                <w:sz w:val="22"/>
                <w:szCs w:val="22"/>
                <w:rtl/>
              </w:rPr>
              <w:t>متوسط الرتب</w:t>
            </w:r>
          </w:p>
        </w:tc>
        <w:tc>
          <w:tcPr>
            <w:tcW w:w="388" w:type="pct"/>
            <w:shd w:val="thinDiagCross" w:color="D9D9D9" w:themeColor="background1" w:themeShade="D9" w:fill="FFFFFF" w:themeFill="background1"/>
            <w:vAlign w:val="center"/>
          </w:tcPr>
          <w:p w14:paraId="4BF3F8E0" w14:textId="77777777" w:rsidR="00661D98" w:rsidRPr="00C85ED3" w:rsidRDefault="00661D98" w:rsidP="00C85ED3">
            <w:pPr>
              <w:bidi w:val="0"/>
              <w:spacing w:line="216" w:lineRule="auto"/>
              <w:jc w:val="center"/>
              <w:rPr>
                <w:b/>
                <w:bCs/>
                <w:color w:val="000000" w:themeColor="text1"/>
                <w:sz w:val="22"/>
                <w:szCs w:val="22"/>
                <w:rtl/>
              </w:rPr>
            </w:pPr>
            <w:r w:rsidRPr="00C85ED3">
              <w:rPr>
                <w:b/>
                <w:bCs/>
                <w:color w:val="000000" w:themeColor="text1"/>
                <w:sz w:val="22"/>
                <w:szCs w:val="22"/>
                <w:rtl/>
              </w:rPr>
              <w:t>الترتيب</w:t>
            </w:r>
          </w:p>
        </w:tc>
        <w:tc>
          <w:tcPr>
            <w:tcW w:w="567" w:type="pct"/>
            <w:shd w:val="thinDiagCross" w:color="D9D9D9" w:themeColor="background1" w:themeShade="D9" w:fill="FFFFFF" w:themeFill="background1"/>
            <w:vAlign w:val="center"/>
          </w:tcPr>
          <w:p w14:paraId="699F835D" w14:textId="77777777" w:rsidR="00661D98" w:rsidRPr="00C85ED3" w:rsidRDefault="00661D98" w:rsidP="00C85ED3">
            <w:pPr>
              <w:bidi w:val="0"/>
              <w:spacing w:line="216" w:lineRule="auto"/>
              <w:jc w:val="center"/>
              <w:rPr>
                <w:b/>
                <w:bCs/>
                <w:color w:val="000000" w:themeColor="text1"/>
                <w:sz w:val="22"/>
                <w:szCs w:val="22"/>
                <w:rtl/>
              </w:rPr>
            </w:pPr>
            <w:r w:rsidRPr="00C85ED3">
              <w:rPr>
                <w:b/>
                <w:bCs/>
                <w:color w:val="000000" w:themeColor="text1"/>
                <w:sz w:val="22"/>
                <w:szCs w:val="22"/>
                <w:rtl/>
              </w:rPr>
              <w:t>القيمة المحسوبة كاي تربيع</w:t>
            </w:r>
          </w:p>
        </w:tc>
        <w:tc>
          <w:tcPr>
            <w:tcW w:w="427" w:type="pct"/>
            <w:shd w:val="thinDiagCross" w:color="D9D9D9" w:themeColor="background1" w:themeShade="D9" w:fill="FFFFFF" w:themeFill="background1"/>
            <w:vAlign w:val="center"/>
          </w:tcPr>
          <w:p w14:paraId="277F6665" w14:textId="77777777" w:rsidR="00661D98" w:rsidRPr="00C85ED3" w:rsidRDefault="00661D98" w:rsidP="00C85ED3">
            <w:pPr>
              <w:spacing w:line="216" w:lineRule="auto"/>
              <w:jc w:val="center"/>
              <w:rPr>
                <w:b/>
                <w:bCs/>
                <w:color w:val="000000" w:themeColor="text1"/>
                <w:sz w:val="22"/>
                <w:szCs w:val="22"/>
                <w:rtl/>
              </w:rPr>
            </w:pPr>
            <w:r w:rsidRPr="00C85ED3">
              <w:rPr>
                <w:b/>
                <w:bCs/>
                <w:color w:val="000000" w:themeColor="text1"/>
                <w:sz w:val="22"/>
                <w:szCs w:val="22"/>
                <w:rtl/>
              </w:rPr>
              <w:t xml:space="preserve">مستوى </w:t>
            </w:r>
            <w:r w:rsidRPr="00C85ED3">
              <w:rPr>
                <w:rFonts w:hint="cs"/>
                <w:b/>
                <w:bCs/>
                <w:color w:val="000000" w:themeColor="text1"/>
                <w:sz w:val="22"/>
                <w:szCs w:val="22"/>
                <w:rtl/>
              </w:rPr>
              <w:br/>
            </w:r>
            <w:r w:rsidRPr="00C85ED3">
              <w:rPr>
                <w:b/>
                <w:bCs/>
                <w:color w:val="000000" w:themeColor="text1"/>
                <w:sz w:val="22"/>
                <w:szCs w:val="22"/>
                <w:rtl/>
              </w:rPr>
              <w:t>الدلالة</w:t>
            </w:r>
            <w:r w:rsidRPr="00C85ED3">
              <w:rPr>
                <w:rFonts w:hint="cs"/>
                <w:b/>
                <w:bCs/>
                <w:color w:val="000000" w:themeColor="text1"/>
                <w:sz w:val="22"/>
                <w:szCs w:val="22"/>
                <w:rtl/>
              </w:rPr>
              <w:t xml:space="preserve"> </w:t>
            </w:r>
            <w:proofErr w:type="spellStart"/>
            <w:r w:rsidRPr="00C85ED3">
              <w:rPr>
                <w:b/>
                <w:bCs/>
                <w:color w:val="000000" w:themeColor="text1"/>
                <w:sz w:val="22"/>
                <w:szCs w:val="22"/>
                <w:rtl/>
              </w:rPr>
              <w:t>sig</w:t>
            </w:r>
            <w:proofErr w:type="spellEnd"/>
          </w:p>
        </w:tc>
      </w:tr>
      <w:tr w:rsidR="009C4D0A" w:rsidRPr="00C85ED3" w14:paraId="69EB891C" w14:textId="77777777" w:rsidTr="00C85ED3">
        <w:trPr>
          <w:trHeight w:val="649"/>
          <w:jc w:val="center"/>
        </w:trPr>
        <w:tc>
          <w:tcPr>
            <w:tcW w:w="3240" w:type="pct"/>
            <w:shd w:val="clear" w:color="auto" w:fill="auto"/>
          </w:tcPr>
          <w:p w14:paraId="45BB6414" w14:textId="77777777" w:rsidR="00661D98" w:rsidRPr="00C85ED3" w:rsidRDefault="00661D98" w:rsidP="00C85ED3">
            <w:pPr>
              <w:spacing w:line="216" w:lineRule="auto"/>
              <w:jc w:val="lowKashida"/>
              <w:rPr>
                <w:b/>
                <w:bCs/>
                <w:color w:val="000000" w:themeColor="text1"/>
                <w:sz w:val="22"/>
                <w:szCs w:val="22"/>
                <w:rtl/>
                <w:lang w:bidi="ar-EG"/>
              </w:rPr>
            </w:pPr>
            <w:r w:rsidRPr="00C85ED3">
              <w:rPr>
                <w:color w:val="000000" w:themeColor="text1"/>
                <w:sz w:val="22"/>
                <w:szCs w:val="22"/>
                <w:rtl/>
              </w:rPr>
              <w:t xml:space="preserve">يساعد الإفصاح عن الدخل الشامل على إعطاء رؤية ‏واضحة وشاملة تساعد المستثمرين على اتخاذ ‏قرارات رشيدة بشأن الاستثمار </w:t>
            </w:r>
            <w:proofErr w:type="spellStart"/>
            <w:r w:rsidRPr="00C85ED3">
              <w:rPr>
                <w:color w:val="000000" w:themeColor="text1"/>
                <w:sz w:val="22"/>
                <w:szCs w:val="22"/>
                <w:rtl/>
              </w:rPr>
              <w:t>فى</w:t>
            </w:r>
            <w:proofErr w:type="spellEnd"/>
            <w:r w:rsidRPr="00C85ED3">
              <w:rPr>
                <w:color w:val="000000" w:themeColor="text1"/>
                <w:sz w:val="22"/>
                <w:szCs w:val="22"/>
                <w:rtl/>
              </w:rPr>
              <w:t xml:space="preserve"> المنشأة. </w:t>
            </w:r>
          </w:p>
        </w:tc>
        <w:tc>
          <w:tcPr>
            <w:tcW w:w="377" w:type="pct"/>
            <w:vAlign w:val="center"/>
          </w:tcPr>
          <w:p w14:paraId="40FB3E57"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9.04</w:t>
            </w:r>
          </w:p>
        </w:tc>
        <w:tc>
          <w:tcPr>
            <w:tcW w:w="388" w:type="pct"/>
            <w:vAlign w:val="center"/>
          </w:tcPr>
          <w:p w14:paraId="019358BD"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1</w:t>
            </w:r>
          </w:p>
        </w:tc>
        <w:tc>
          <w:tcPr>
            <w:tcW w:w="567" w:type="pct"/>
            <w:vMerge w:val="restart"/>
            <w:vAlign w:val="center"/>
          </w:tcPr>
          <w:p w14:paraId="0CC008EE" w14:textId="77777777" w:rsidR="00661D98" w:rsidRPr="00C85ED3" w:rsidRDefault="00661D98" w:rsidP="00C85ED3">
            <w:pPr>
              <w:bidi w:val="0"/>
              <w:spacing w:line="216" w:lineRule="auto"/>
              <w:jc w:val="center"/>
              <w:rPr>
                <w:color w:val="000000" w:themeColor="text1"/>
                <w:sz w:val="22"/>
                <w:szCs w:val="22"/>
                <w:rtl/>
              </w:rPr>
            </w:pPr>
            <w:r w:rsidRPr="00C85ED3">
              <w:rPr>
                <w:color w:val="000000" w:themeColor="text1"/>
                <w:sz w:val="22"/>
                <w:szCs w:val="22"/>
                <w:rtl/>
              </w:rPr>
              <w:t>44.03</w:t>
            </w:r>
          </w:p>
        </w:tc>
        <w:tc>
          <w:tcPr>
            <w:tcW w:w="427" w:type="pct"/>
            <w:vMerge w:val="restart"/>
            <w:vAlign w:val="center"/>
          </w:tcPr>
          <w:p w14:paraId="3E2343C4" w14:textId="77777777" w:rsidR="00661D98" w:rsidRPr="00C85ED3" w:rsidRDefault="00661D98" w:rsidP="00C85ED3">
            <w:pPr>
              <w:bidi w:val="0"/>
              <w:spacing w:line="216" w:lineRule="auto"/>
              <w:jc w:val="center"/>
              <w:rPr>
                <w:color w:val="000000" w:themeColor="text1"/>
                <w:sz w:val="22"/>
                <w:szCs w:val="22"/>
              </w:rPr>
            </w:pPr>
            <w:r w:rsidRPr="00C85ED3">
              <w:rPr>
                <w:color w:val="000000" w:themeColor="text1"/>
                <w:sz w:val="22"/>
                <w:szCs w:val="22"/>
                <w:rtl/>
              </w:rPr>
              <w:t>0</w:t>
            </w:r>
          </w:p>
        </w:tc>
      </w:tr>
      <w:tr w:rsidR="009C4D0A" w:rsidRPr="00C85ED3" w14:paraId="2DCA9C5C" w14:textId="77777777" w:rsidTr="00C85ED3">
        <w:trPr>
          <w:trHeight w:val="243"/>
          <w:jc w:val="center"/>
        </w:trPr>
        <w:tc>
          <w:tcPr>
            <w:tcW w:w="3240" w:type="pct"/>
            <w:shd w:val="clear" w:color="auto" w:fill="auto"/>
          </w:tcPr>
          <w:p w14:paraId="0BF7E3AC" w14:textId="77777777" w:rsidR="00661D98" w:rsidRPr="00C85ED3" w:rsidRDefault="00661D98" w:rsidP="00C85ED3">
            <w:pPr>
              <w:spacing w:line="216" w:lineRule="auto"/>
              <w:jc w:val="lowKashida"/>
              <w:rPr>
                <w:b/>
                <w:bCs/>
                <w:color w:val="000000" w:themeColor="text1"/>
                <w:sz w:val="22"/>
                <w:szCs w:val="22"/>
                <w:rtl/>
                <w:lang w:bidi="ar-EG"/>
              </w:rPr>
            </w:pPr>
            <w:r w:rsidRPr="00C85ED3">
              <w:rPr>
                <w:color w:val="000000" w:themeColor="text1"/>
                <w:sz w:val="22"/>
                <w:szCs w:val="22"/>
                <w:rtl/>
              </w:rPr>
              <w:t xml:space="preserve">يؤدى الإفصاح عن الدخل الشامل إلى زيادة ثقة ‏المستثمرين </w:t>
            </w:r>
            <w:proofErr w:type="spellStart"/>
            <w:r w:rsidRPr="00C85ED3">
              <w:rPr>
                <w:color w:val="000000" w:themeColor="text1"/>
                <w:sz w:val="22"/>
                <w:szCs w:val="22"/>
                <w:rtl/>
              </w:rPr>
              <w:t>فى</w:t>
            </w:r>
            <w:proofErr w:type="spellEnd"/>
            <w:r w:rsidRPr="00C85ED3">
              <w:rPr>
                <w:color w:val="000000" w:themeColor="text1"/>
                <w:sz w:val="22"/>
                <w:szCs w:val="22"/>
                <w:rtl/>
              </w:rPr>
              <w:t xml:space="preserve"> القوائم المالية نظراً لاستبعاد تحيز ‏الإدارة.</w:t>
            </w:r>
          </w:p>
        </w:tc>
        <w:tc>
          <w:tcPr>
            <w:tcW w:w="377" w:type="pct"/>
            <w:vAlign w:val="center"/>
          </w:tcPr>
          <w:p w14:paraId="3FE5F18F"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8.09</w:t>
            </w:r>
          </w:p>
        </w:tc>
        <w:tc>
          <w:tcPr>
            <w:tcW w:w="388" w:type="pct"/>
            <w:vAlign w:val="center"/>
          </w:tcPr>
          <w:p w14:paraId="7370DE00"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6</w:t>
            </w:r>
          </w:p>
        </w:tc>
        <w:tc>
          <w:tcPr>
            <w:tcW w:w="567" w:type="pct"/>
            <w:vMerge/>
            <w:vAlign w:val="center"/>
          </w:tcPr>
          <w:p w14:paraId="4C01AB26" w14:textId="77777777" w:rsidR="00661D98" w:rsidRPr="00C85ED3" w:rsidRDefault="00661D98" w:rsidP="00C85ED3">
            <w:pPr>
              <w:bidi w:val="0"/>
              <w:spacing w:line="216" w:lineRule="auto"/>
              <w:jc w:val="center"/>
              <w:rPr>
                <w:color w:val="000000" w:themeColor="text1"/>
                <w:sz w:val="22"/>
                <w:szCs w:val="22"/>
                <w:rtl/>
              </w:rPr>
            </w:pPr>
          </w:p>
        </w:tc>
        <w:tc>
          <w:tcPr>
            <w:tcW w:w="427" w:type="pct"/>
            <w:vMerge/>
            <w:vAlign w:val="center"/>
          </w:tcPr>
          <w:p w14:paraId="770FA219" w14:textId="77777777" w:rsidR="00661D98" w:rsidRPr="00C85ED3" w:rsidRDefault="00661D98" w:rsidP="00C85ED3">
            <w:pPr>
              <w:bidi w:val="0"/>
              <w:spacing w:line="216" w:lineRule="auto"/>
              <w:jc w:val="center"/>
              <w:rPr>
                <w:color w:val="000000" w:themeColor="text1"/>
                <w:sz w:val="22"/>
                <w:szCs w:val="22"/>
                <w:rtl/>
              </w:rPr>
            </w:pPr>
          </w:p>
        </w:tc>
      </w:tr>
      <w:tr w:rsidR="009C4D0A" w:rsidRPr="00C85ED3" w14:paraId="466716B5" w14:textId="77777777" w:rsidTr="00C85ED3">
        <w:trPr>
          <w:trHeight w:val="249"/>
          <w:jc w:val="center"/>
        </w:trPr>
        <w:tc>
          <w:tcPr>
            <w:tcW w:w="3240" w:type="pct"/>
            <w:shd w:val="clear" w:color="auto" w:fill="auto"/>
          </w:tcPr>
          <w:p w14:paraId="50DD31E3" w14:textId="77777777" w:rsidR="00661D98" w:rsidRPr="00C85ED3" w:rsidRDefault="00661D98" w:rsidP="00C85ED3">
            <w:pPr>
              <w:spacing w:line="216" w:lineRule="auto"/>
              <w:jc w:val="lowKashida"/>
              <w:rPr>
                <w:b/>
                <w:bCs/>
                <w:color w:val="000000" w:themeColor="text1"/>
                <w:sz w:val="22"/>
                <w:szCs w:val="22"/>
                <w:rtl/>
                <w:lang w:bidi="ar-EG"/>
              </w:rPr>
            </w:pPr>
            <w:r w:rsidRPr="00C85ED3">
              <w:rPr>
                <w:color w:val="000000" w:themeColor="text1"/>
                <w:sz w:val="22"/>
                <w:szCs w:val="22"/>
                <w:rtl/>
              </w:rPr>
              <w:t>يزيد إفصاح المنشآت المصرية للدخل الشامل من ‏جودة الإفصاح المحاسبي، ومن ثم تعزيز كفاءة سوق ‏الأوراق المالية.‏</w:t>
            </w:r>
          </w:p>
        </w:tc>
        <w:tc>
          <w:tcPr>
            <w:tcW w:w="377" w:type="pct"/>
            <w:vAlign w:val="center"/>
          </w:tcPr>
          <w:p w14:paraId="50CFC1B5"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8.76</w:t>
            </w:r>
          </w:p>
        </w:tc>
        <w:tc>
          <w:tcPr>
            <w:tcW w:w="388" w:type="pct"/>
            <w:vAlign w:val="center"/>
          </w:tcPr>
          <w:p w14:paraId="4D471A57"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2</w:t>
            </w:r>
          </w:p>
        </w:tc>
        <w:tc>
          <w:tcPr>
            <w:tcW w:w="567" w:type="pct"/>
            <w:vMerge/>
            <w:vAlign w:val="center"/>
          </w:tcPr>
          <w:p w14:paraId="3BCA506D" w14:textId="77777777" w:rsidR="00661D98" w:rsidRPr="00C85ED3" w:rsidRDefault="00661D98" w:rsidP="00C85ED3">
            <w:pPr>
              <w:bidi w:val="0"/>
              <w:spacing w:line="216" w:lineRule="auto"/>
              <w:jc w:val="center"/>
              <w:rPr>
                <w:color w:val="000000" w:themeColor="text1"/>
                <w:sz w:val="22"/>
                <w:szCs w:val="22"/>
                <w:rtl/>
              </w:rPr>
            </w:pPr>
          </w:p>
        </w:tc>
        <w:tc>
          <w:tcPr>
            <w:tcW w:w="427" w:type="pct"/>
            <w:vMerge/>
            <w:vAlign w:val="center"/>
          </w:tcPr>
          <w:p w14:paraId="5B7C30C0" w14:textId="77777777" w:rsidR="00661D98" w:rsidRPr="00C85ED3" w:rsidRDefault="00661D98" w:rsidP="00C85ED3">
            <w:pPr>
              <w:bidi w:val="0"/>
              <w:spacing w:line="216" w:lineRule="auto"/>
              <w:jc w:val="center"/>
              <w:rPr>
                <w:color w:val="000000" w:themeColor="text1"/>
                <w:sz w:val="22"/>
                <w:szCs w:val="22"/>
                <w:rtl/>
              </w:rPr>
            </w:pPr>
          </w:p>
        </w:tc>
      </w:tr>
      <w:tr w:rsidR="009C4D0A" w:rsidRPr="00C85ED3" w14:paraId="62B48CBD" w14:textId="77777777" w:rsidTr="00C85ED3">
        <w:trPr>
          <w:trHeight w:val="195"/>
          <w:jc w:val="center"/>
        </w:trPr>
        <w:tc>
          <w:tcPr>
            <w:tcW w:w="3240" w:type="pct"/>
            <w:shd w:val="clear" w:color="auto" w:fill="auto"/>
          </w:tcPr>
          <w:p w14:paraId="7BDEF93D" w14:textId="77777777" w:rsidR="00661D98" w:rsidRPr="00C85ED3" w:rsidRDefault="00661D98" w:rsidP="00C85ED3">
            <w:pPr>
              <w:spacing w:line="216" w:lineRule="auto"/>
              <w:jc w:val="lowKashida"/>
              <w:rPr>
                <w:b/>
                <w:bCs/>
                <w:color w:val="000000" w:themeColor="text1"/>
                <w:spacing w:val="-6"/>
                <w:sz w:val="22"/>
                <w:szCs w:val="22"/>
                <w:rtl/>
                <w:lang w:bidi="ar-EG"/>
              </w:rPr>
            </w:pPr>
            <w:r w:rsidRPr="00C85ED3">
              <w:rPr>
                <w:color w:val="000000" w:themeColor="text1"/>
                <w:spacing w:val="-6"/>
                <w:sz w:val="22"/>
                <w:szCs w:val="22"/>
                <w:rtl/>
              </w:rPr>
              <w:t>يؤدى الإفصاح عن الدخل الشامل إلى تعديل توقعات ‏المستثمرين بخصوص منافعهم المستقبلية.‏</w:t>
            </w:r>
          </w:p>
        </w:tc>
        <w:tc>
          <w:tcPr>
            <w:tcW w:w="377" w:type="pct"/>
            <w:vAlign w:val="center"/>
          </w:tcPr>
          <w:p w14:paraId="340C910C"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8.11</w:t>
            </w:r>
          </w:p>
        </w:tc>
        <w:tc>
          <w:tcPr>
            <w:tcW w:w="388" w:type="pct"/>
            <w:vAlign w:val="center"/>
          </w:tcPr>
          <w:p w14:paraId="612544CF"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5</w:t>
            </w:r>
          </w:p>
        </w:tc>
        <w:tc>
          <w:tcPr>
            <w:tcW w:w="567" w:type="pct"/>
            <w:vMerge/>
            <w:vAlign w:val="center"/>
          </w:tcPr>
          <w:p w14:paraId="6DCDB607" w14:textId="77777777" w:rsidR="00661D98" w:rsidRPr="00C85ED3" w:rsidRDefault="00661D98" w:rsidP="00C85ED3">
            <w:pPr>
              <w:bidi w:val="0"/>
              <w:spacing w:line="216" w:lineRule="auto"/>
              <w:jc w:val="center"/>
              <w:rPr>
                <w:color w:val="000000" w:themeColor="text1"/>
                <w:sz w:val="22"/>
                <w:szCs w:val="22"/>
                <w:rtl/>
              </w:rPr>
            </w:pPr>
          </w:p>
        </w:tc>
        <w:tc>
          <w:tcPr>
            <w:tcW w:w="427" w:type="pct"/>
            <w:vMerge/>
            <w:vAlign w:val="center"/>
          </w:tcPr>
          <w:p w14:paraId="07CD1BEA" w14:textId="77777777" w:rsidR="00661D98" w:rsidRPr="00C85ED3" w:rsidRDefault="00661D98" w:rsidP="00C85ED3">
            <w:pPr>
              <w:bidi w:val="0"/>
              <w:spacing w:line="216" w:lineRule="auto"/>
              <w:jc w:val="center"/>
              <w:rPr>
                <w:color w:val="000000" w:themeColor="text1"/>
                <w:sz w:val="22"/>
                <w:szCs w:val="22"/>
                <w:rtl/>
              </w:rPr>
            </w:pPr>
          </w:p>
        </w:tc>
      </w:tr>
      <w:tr w:rsidR="009C4D0A" w:rsidRPr="00C85ED3" w14:paraId="316AA174" w14:textId="77777777" w:rsidTr="00C85ED3">
        <w:trPr>
          <w:trHeight w:val="195"/>
          <w:jc w:val="center"/>
        </w:trPr>
        <w:tc>
          <w:tcPr>
            <w:tcW w:w="3240" w:type="pct"/>
            <w:shd w:val="clear" w:color="auto" w:fill="auto"/>
          </w:tcPr>
          <w:p w14:paraId="4388195C" w14:textId="77777777" w:rsidR="00661D98" w:rsidRPr="00C85ED3" w:rsidRDefault="00661D98" w:rsidP="00C85ED3">
            <w:pPr>
              <w:spacing w:line="216" w:lineRule="auto"/>
              <w:jc w:val="lowKashida"/>
              <w:rPr>
                <w:b/>
                <w:bCs/>
                <w:color w:val="000000" w:themeColor="text1"/>
                <w:sz w:val="22"/>
                <w:szCs w:val="22"/>
                <w:rtl/>
                <w:lang w:bidi="ar-EG"/>
              </w:rPr>
            </w:pPr>
            <w:r w:rsidRPr="00C85ED3">
              <w:rPr>
                <w:color w:val="000000" w:themeColor="text1"/>
                <w:sz w:val="22"/>
                <w:szCs w:val="22"/>
                <w:rtl/>
              </w:rPr>
              <w:t xml:space="preserve">النظرة الحديثة لبنود الدخل الشامل الآخر والتقلب ‏الكبير </w:t>
            </w:r>
            <w:proofErr w:type="spellStart"/>
            <w:r w:rsidRPr="00C85ED3">
              <w:rPr>
                <w:color w:val="000000" w:themeColor="text1"/>
                <w:sz w:val="22"/>
                <w:szCs w:val="22"/>
                <w:rtl/>
              </w:rPr>
              <w:t>فى</w:t>
            </w:r>
            <w:proofErr w:type="spellEnd"/>
            <w:r w:rsidRPr="00C85ED3">
              <w:rPr>
                <w:color w:val="000000" w:themeColor="text1"/>
                <w:sz w:val="22"/>
                <w:szCs w:val="22"/>
                <w:rtl/>
              </w:rPr>
              <w:t xml:space="preserve"> قيمتها يجعل المخاطر والأزمات المالية ‏</w:t>
            </w:r>
            <w:proofErr w:type="spellStart"/>
            <w:r w:rsidRPr="00C85ED3">
              <w:rPr>
                <w:color w:val="000000" w:themeColor="text1"/>
                <w:sz w:val="22"/>
                <w:szCs w:val="22"/>
                <w:rtl/>
              </w:rPr>
              <w:t>التى</w:t>
            </w:r>
            <w:proofErr w:type="spellEnd"/>
            <w:r w:rsidRPr="00C85ED3">
              <w:rPr>
                <w:color w:val="000000" w:themeColor="text1"/>
                <w:sz w:val="22"/>
                <w:szCs w:val="22"/>
                <w:rtl/>
              </w:rPr>
              <w:t xml:space="preserve"> تواجه المنشآت أكثر وضوحاً لدى المستثمرين.‏</w:t>
            </w:r>
          </w:p>
        </w:tc>
        <w:tc>
          <w:tcPr>
            <w:tcW w:w="377" w:type="pct"/>
            <w:vAlign w:val="center"/>
          </w:tcPr>
          <w:p w14:paraId="5741AB13"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7.46</w:t>
            </w:r>
          </w:p>
        </w:tc>
        <w:tc>
          <w:tcPr>
            <w:tcW w:w="388" w:type="pct"/>
            <w:vAlign w:val="center"/>
          </w:tcPr>
          <w:p w14:paraId="0D4CCAC7"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14</w:t>
            </w:r>
          </w:p>
        </w:tc>
        <w:tc>
          <w:tcPr>
            <w:tcW w:w="567" w:type="pct"/>
            <w:vMerge/>
            <w:vAlign w:val="center"/>
          </w:tcPr>
          <w:p w14:paraId="560BE3B9" w14:textId="77777777" w:rsidR="00661D98" w:rsidRPr="00C85ED3" w:rsidRDefault="00661D98" w:rsidP="00C85ED3">
            <w:pPr>
              <w:bidi w:val="0"/>
              <w:spacing w:line="216" w:lineRule="auto"/>
              <w:jc w:val="center"/>
              <w:rPr>
                <w:color w:val="000000" w:themeColor="text1"/>
                <w:sz w:val="22"/>
                <w:szCs w:val="22"/>
                <w:rtl/>
              </w:rPr>
            </w:pPr>
          </w:p>
        </w:tc>
        <w:tc>
          <w:tcPr>
            <w:tcW w:w="427" w:type="pct"/>
            <w:vMerge/>
            <w:vAlign w:val="center"/>
          </w:tcPr>
          <w:p w14:paraId="212C0939" w14:textId="77777777" w:rsidR="00661D98" w:rsidRPr="00C85ED3" w:rsidRDefault="00661D98" w:rsidP="00C85ED3">
            <w:pPr>
              <w:bidi w:val="0"/>
              <w:spacing w:line="216" w:lineRule="auto"/>
              <w:jc w:val="center"/>
              <w:rPr>
                <w:color w:val="000000" w:themeColor="text1"/>
                <w:sz w:val="22"/>
                <w:szCs w:val="22"/>
                <w:rtl/>
              </w:rPr>
            </w:pPr>
          </w:p>
        </w:tc>
      </w:tr>
      <w:tr w:rsidR="009C4D0A" w:rsidRPr="00C85ED3" w14:paraId="61FA463C" w14:textId="77777777" w:rsidTr="00C85ED3">
        <w:trPr>
          <w:trHeight w:val="195"/>
          <w:jc w:val="center"/>
        </w:trPr>
        <w:tc>
          <w:tcPr>
            <w:tcW w:w="3240" w:type="pct"/>
            <w:shd w:val="clear" w:color="auto" w:fill="auto"/>
          </w:tcPr>
          <w:p w14:paraId="62C0BF7F" w14:textId="77777777" w:rsidR="00661D98" w:rsidRPr="00C85ED3" w:rsidRDefault="00661D98" w:rsidP="00C85ED3">
            <w:pPr>
              <w:spacing w:line="216" w:lineRule="auto"/>
              <w:jc w:val="lowKashida"/>
              <w:rPr>
                <w:color w:val="000000" w:themeColor="text1"/>
                <w:sz w:val="22"/>
                <w:szCs w:val="22"/>
                <w:rtl/>
                <w:lang w:bidi="ar-EG"/>
              </w:rPr>
            </w:pPr>
            <w:r w:rsidRPr="00C85ED3">
              <w:rPr>
                <w:color w:val="000000" w:themeColor="text1"/>
                <w:sz w:val="22"/>
                <w:szCs w:val="22"/>
                <w:rtl/>
              </w:rPr>
              <w:t xml:space="preserve">يمكن من خلال الإفصاح عن المحتوى </w:t>
            </w:r>
            <w:proofErr w:type="spellStart"/>
            <w:r w:rsidRPr="00C85ED3">
              <w:rPr>
                <w:color w:val="000000" w:themeColor="text1"/>
                <w:sz w:val="22"/>
                <w:szCs w:val="22"/>
                <w:rtl/>
              </w:rPr>
              <w:t>المعلوماتى</w:t>
            </w:r>
            <w:proofErr w:type="spellEnd"/>
            <w:r w:rsidRPr="00C85ED3">
              <w:rPr>
                <w:color w:val="000000" w:themeColor="text1"/>
                <w:sz w:val="22"/>
                <w:szCs w:val="22"/>
                <w:rtl/>
              </w:rPr>
              <w:t xml:space="preserve"> ‏لبنود الدخل الشامل الآخر التأثير على أسعار الأسهم ‏وقرارات المستثمرين وبنية معلومات المنشأة.‏</w:t>
            </w:r>
          </w:p>
        </w:tc>
        <w:tc>
          <w:tcPr>
            <w:tcW w:w="377" w:type="pct"/>
            <w:vAlign w:val="center"/>
          </w:tcPr>
          <w:p w14:paraId="177F5B9B"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8.04</w:t>
            </w:r>
          </w:p>
        </w:tc>
        <w:tc>
          <w:tcPr>
            <w:tcW w:w="388" w:type="pct"/>
            <w:vAlign w:val="center"/>
          </w:tcPr>
          <w:p w14:paraId="0BEA1570"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8</w:t>
            </w:r>
          </w:p>
        </w:tc>
        <w:tc>
          <w:tcPr>
            <w:tcW w:w="567" w:type="pct"/>
            <w:vMerge/>
            <w:vAlign w:val="center"/>
          </w:tcPr>
          <w:p w14:paraId="2E453225" w14:textId="77777777" w:rsidR="00661D98" w:rsidRPr="00C85ED3" w:rsidRDefault="00661D98" w:rsidP="00C85ED3">
            <w:pPr>
              <w:bidi w:val="0"/>
              <w:spacing w:line="216" w:lineRule="auto"/>
              <w:jc w:val="center"/>
              <w:rPr>
                <w:color w:val="000000" w:themeColor="text1"/>
                <w:sz w:val="22"/>
                <w:szCs w:val="22"/>
                <w:rtl/>
              </w:rPr>
            </w:pPr>
          </w:p>
        </w:tc>
        <w:tc>
          <w:tcPr>
            <w:tcW w:w="427" w:type="pct"/>
            <w:vMerge/>
            <w:vAlign w:val="center"/>
          </w:tcPr>
          <w:p w14:paraId="2FA181B8" w14:textId="77777777" w:rsidR="00661D98" w:rsidRPr="00C85ED3" w:rsidRDefault="00661D98" w:rsidP="00C85ED3">
            <w:pPr>
              <w:bidi w:val="0"/>
              <w:spacing w:line="216" w:lineRule="auto"/>
              <w:jc w:val="center"/>
              <w:rPr>
                <w:color w:val="000000" w:themeColor="text1"/>
                <w:sz w:val="22"/>
                <w:szCs w:val="22"/>
                <w:rtl/>
              </w:rPr>
            </w:pPr>
          </w:p>
        </w:tc>
      </w:tr>
      <w:tr w:rsidR="009C4D0A" w:rsidRPr="00C85ED3" w14:paraId="3752E33B" w14:textId="77777777" w:rsidTr="00C85ED3">
        <w:trPr>
          <w:trHeight w:val="195"/>
          <w:jc w:val="center"/>
        </w:trPr>
        <w:tc>
          <w:tcPr>
            <w:tcW w:w="3240" w:type="pct"/>
            <w:shd w:val="clear" w:color="auto" w:fill="auto"/>
          </w:tcPr>
          <w:p w14:paraId="59655632" w14:textId="77777777" w:rsidR="00661D98" w:rsidRPr="00C85ED3" w:rsidRDefault="00661D98" w:rsidP="00C85ED3">
            <w:pPr>
              <w:spacing w:line="216" w:lineRule="auto"/>
              <w:jc w:val="lowKashida"/>
              <w:rPr>
                <w:color w:val="000000" w:themeColor="text1"/>
                <w:sz w:val="22"/>
                <w:szCs w:val="22"/>
                <w:rtl/>
                <w:lang w:bidi="ar-EG"/>
              </w:rPr>
            </w:pPr>
            <w:r w:rsidRPr="00C85ED3">
              <w:rPr>
                <w:color w:val="000000" w:themeColor="text1"/>
                <w:sz w:val="22"/>
                <w:szCs w:val="22"/>
                <w:rtl/>
              </w:rPr>
              <w:t xml:space="preserve">يساعد الإفصاح المحاسبي عن الدخل الشامل </w:t>
            </w:r>
            <w:proofErr w:type="spellStart"/>
            <w:r w:rsidRPr="00C85ED3">
              <w:rPr>
                <w:color w:val="000000" w:themeColor="text1"/>
                <w:sz w:val="22"/>
                <w:szCs w:val="22"/>
                <w:rtl/>
              </w:rPr>
              <w:t>فى</w:t>
            </w:r>
            <w:proofErr w:type="spellEnd"/>
            <w:r w:rsidRPr="00C85ED3">
              <w:rPr>
                <w:color w:val="000000" w:themeColor="text1"/>
                <w:sz w:val="22"/>
                <w:szCs w:val="22"/>
                <w:rtl/>
              </w:rPr>
              <w:t xml:space="preserve"> ‏توقع التدفقات النقدية المستقبلية للمنشآت وهو ما ‏يؤدى إلى زيادة قناعة المستثمرين </w:t>
            </w:r>
            <w:proofErr w:type="spellStart"/>
            <w:r w:rsidRPr="00C85ED3">
              <w:rPr>
                <w:color w:val="000000" w:themeColor="text1"/>
                <w:sz w:val="22"/>
                <w:szCs w:val="22"/>
                <w:rtl/>
              </w:rPr>
              <w:t>فى</w:t>
            </w:r>
            <w:proofErr w:type="spellEnd"/>
            <w:r w:rsidRPr="00C85ED3">
              <w:rPr>
                <w:color w:val="000000" w:themeColor="text1"/>
                <w:sz w:val="22"/>
                <w:szCs w:val="22"/>
                <w:rtl/>
              </w:rPr>
              <w:t xml:space="preserve"> كفاءة سوق ‏الأوراق المالية.‏</w:t>
            </w:r>
          </w:p>
        </w:tc>
        <w:tc>
          <w:tcPr>
            <w:tcW w:w="377" w:type="pct"/>
            <w:vAlign w:val="center"/>
          </w:tcPr>
          <w:p w14:paraId="1FA8934F"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7.65</w:t>
            </w:r>
          </w:p>
        </w:tc>
        <w:tc>
          <w:tcPr>
            <w:tcW w:w="388" w:type="pct"/>
            <w:vAlign w:val="center"/>
          </w:tcPr>
          <w:p w14:paraId="2127FAB1"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12</w:t>
            </w:r>
          </w:p>
        </w:tc>
        <w:tc>
          <w:tcPr>
            <w:tcW w:w="567" w:type="pct"/>
            <w:vMerge/>
            <w:vAlign w:val="center"/>
          </w:tcPr>
          <w:p w14:paraId="15C92C99" w14:textId="77777777" w:rsidR="00661D98" w:rsidRPr="00C85ED3" w:rsidRDefault="00661D98" w:rsidP="00C85ED3">
            <w:pPr>
              <w:bidi w:val="0"/>
              <w:spacing w:line="216" w:lineRule="auto"/>
              <w:jc w:val="center"/>
              <w:rPr>
                <w:color w:val="000000" w:themeColor="text1"/>
                <w:sz w:val="22"/>
                <w:szCs w:val="22"/>
                <w:rtl/>
              </w:rPr>
            </w:pPr>
          </w:p>
        </w:tc>
        <w:tc>
          <w:tcPr>
            <w:tcW w:w="427" w:type="pct"/>
            <w:vMerge/>
            <w:vAlign w:val="center"/>
          </w:tcPr>
          <w:p w14:paraId="61C0AA51" w14:textId="77777777" w:rsidR="00661D98" w:rsidRPr="00C85ED3" w:rsidRDefault="00661D98" w:rsidP="00C85ED3">
            <w:pPr>
              <w:bidi w:val="0"/>
              <w:spacing w:line="216" w:lineRule="auto"/>
              <w:jc w:val="center"/>
              <w:rPr>
                <w:color w:val="000000" w:themeColor="text1"/>
                <w:sz w:val="22"/>
                <w:szCs w:val="22"/>
                <w:rtl/>
              </w:rPr>
            </w:pPr>
          </w:p>
        </w:tc>
      </w:tr>
      <w:tr w:rsidR="009C4D0A" w:rsidRPr="00C85ED3" w14:paraId="61FC3C88" w14:textId="77777777" w:rsidTr="00C85ED3">
        <w:trPr>
          <w:trHeight w:val="195"/>
          <w:jc w:val="center"/>
        </w:trPr>
        <w:tc>
          <w:tcPr>
            <w:tcW w:w="3240" w:type="pct"/>
            <w:shd w:val="clear" w:color="auto" w:fill="auto"/>
          </w:tcPr>
          <w:p w14:paraId="01E4274D" w14:textId="77777777" w:rsidR="00661D98" w:rsidRPr="00C85ED3" w:rsidRDefault="00661D98" w:rsidP="00C85ED3">
            <w:pPr>
              <w:spacing w:line="216" w:lineRule="auto"/>
              <w:jc w:val="lowKashida"/>
              <w:rPr>
                <w:color w:val="000000" w:themeColor="text1"/>
                <w:sz w:val="22"/>
                <w:szCs w:val="22"/>
                <w:rtl/>
                <w:lang w:bidi="ar-EG"/>
              </w:rPr>
            </w:pPr>
            <w:r w:rsidRPr="00C85ED3">
              <w:rPr>
                <w:color w:val="000000" w:themeColor="text1"/>
                <w:sz w:val="22"/>
                <w:szCs w:val="22"/>
                <w:rtl/>
              </w:rPr>
              <w:t>يساعد الإفصاح المحاسبي عن الدخل الشامل على ‏فهم وتحليل القوائم المالية من قبل المستثمرين، ومن ‏ثم تعزيز كفاءة سوق الأوراق المالية</w:t>
            </w:r>
            <w:r w:rsidRPr="00C85ED3">
              <w:rPr>
                <w:color w:val="000000" w:themeColor="text1"/>
                <w:sz w:val="22"/>
                <w:szCs w:val="22"/>
                <w:rtl/>
                <w:cs/>
              </w:rPr>
              <w:t>‎</w:t>
            </w:r>
            <w:r w:rsidRPr="00C85ED3">
              <w:rPr>
                <w:color w:val="000000" w:themeColor="text1"/>
                <w:sz w:val="22"/>
                <w:szCs w:val="22"/>
                <w:rtl/>
              </w:rPr>
              <w:t>.</w:t>
            </w:r>
            <w:r w:rsidRPr="00C85ED3">
              <w:rPr>
                <w:color w:val="000000" w:themeColor="text1"/>
                <w:sz w:val="22"/>
                <w:szCs w:val="22"/>
                <w:rtl/>
                <w:cs/>
              </w:rPr>
              <w:t>‎</w:t>
            </w:r>
          </w:p>
        </w:tc>
        <w:tc>
          <w:tcPr>
            <w:tcW w:w="377" w:type="pct"/>
            <w:vAlign w:val="center"/>
          </w:tcPr>
          <w:p w14:paraId="28C478C9"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8.25</w:t>
            </w:r>
          </w:p>
        </w:tc>
        <w:tc>
          <w:tcPr>
            <w:tcW w:w="388" w:type="pct"/>
            <w:vAlign w:val="center"/>
          </w:tcPr>
          <w:p w14:paraId="145A7943"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4</w:t>
            </w:r>
          </w:p>
        </w:tc>
        <w:tc>
          <w:tcPr>
            <w:tcW w:w="567" w:type="pct"/>
            <w:vMerge/>
            <w:vAlign w:val="center"/>
          </w:tcPr>
          <w:p w14:paraId="6DEAB955" w14:textId="77777777" w:rsidR="00661D98" w:rsidRPr="00C85ED3" w:rsidRDefault="00661D98" w:rsidP="00C85ED3">
            <w:pPr>
              <w:bidi w:val="0"/>
              <w:spacing w:line="216" w:lineRule="auto"/>
              <w:jc w:val="center"/>
              <w:rPr>
                <w:color w:val="000000" w:themeColor="text1"/>
                <w:sz w:val="22"/>
                <w:szCs w:val="22"/>
                <w:rtl/>
              </w:rPr>
            </w:pPr>
          </w:p>
        </w:tc>
        <w:tc>
          <w:tcPr>
            <w:tcW w:w="427" w:type="pct"/>
            <w:vMerge/>
            <w:vAlign w:val="center"/>
          </w:tcPr>
          <w:p w14:paraId="60D4E258" w14:textId="77777777" w:rsidR="00661D98" w:rsidRPr="00C85ED3" w:rsidRDefault="00661D98" w:rsidP="00C85ED3">
            <w:pPr>
              <w:bidi w:val="0"/>
              <w:spacing w:line="216" w:lineRule="auto"/>
              <w:jc w:val="center"/>
              <w:rPr>
                <w:color w:val="000000" w:themeColor="text1"/>
                <w:sz w:val="22"/>
                <w:szCs w:val="22"/>
                <w:rtl/>
              </w:rPr>
            </w:pPr>
          </w:p>
        </w:tc>
      </w:tr>
      <w:tr w:rsidR="009C4D0A" w:rsidRPr="00C85ED3" w14:paraId="51D56A6E" w14:textId="77777777" w:rsidTr="00C85ED3">
        <w:trPr>
          <w:trHeight w:val="195"/>
          <w:jc w:val="center"/>
        </w:trPr>
        <w:tc>
          <w:tcPr>
            <w:tcW w:w="3240" w:type="pct"/>
            <w:shd w:val="clear" w:color="auto" w:fill="auto"/>
          </w:tcPr>
          <w:p w14:paraId="24AB2332" w14:textId="77777777" w:rsidR="00661D98" w:rsidRPr="00C85ED3" w:rsidRDefault="00661D98" w:rsidP="00C85ED3">
            <w:pPr>
              <w:spacing w:line="216" w:lineRule="auto"/>
              <w:jc w:val="lowKashida"/>
              <w:rPr>
                <w:color w:val="000000" w:themeColor="text1"/>
                <w:sz w:val="22"/>
                <w:szCs w:val="22"/>
                <w:rtl/>
                <w:lang w:bidi="ar-EG"/>
              </w:rPr>
            </w:pPr>
            <w:r w:rsidRPr="00C85ED3">
              <w:rPr>
                <w:color w:val="000000" w:themeColor="text1"/>
                <w:sz w:val="22"/>
                <w:szCs w:val="22"/>
                <w:rtl/>
              </w:rPr>
              <w:t>يحقق الإفصاح عن الدخل الشامل خاصية الملاءمة ‏بتوفير معلومات ملائمة للقرارات وفى التوقيت ‏المناسب ومن ثم تعزيز كفاءة سوق الأوراق المالية.‏</w:t>
            </w:r>
          </w:p>
        </w:tc>
        <w:tc>
          <w:tcPr>
            <w:tcW w:w="377" w:type="pct"/>
            <w:vAlign w:val="center"/>
          </w:tcPr>
          <w:p w14:paraId="5471FD52"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8.09</w:t>
            </w:r>
          </w:p>
        </w:tc>
        <w:tc>
          <w:tcPr>
            <w:tcW w:w="388" w:type="pct"/>
            <w:vAlign w:val="center"/>
          </w:tcPr>
          <w:p w14:paraId="3410098F"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7</w:t>
            </w:r>
          </w:p>
        </w:tc>
        <w:tc>
          <w:tcPr>
            <w:tcW w:w="567" w:type="pct"/>
            <w:vMerge/>
            <w:vAlign w:val="center"/>
          </w:tcPr>
          <w:p w14:paraId="664B7376" w14:textId="77777777" w:rsidR="00661D98" w:rsidRPr="00C85ED3" w:rsidRDefault="00661D98" w:rsidP="00C85ED3">
            <w:pPr>
              <w:bidi w:val="0"/>
              <w:spacing w:line="216" w:lineRule="auto"/>
              <w:jc w:val="center"/>
              <w:rPr>
                <w:color w:val="000000" w:themeColor="text1"/>
                <w:sz w:val="22"/>
                <w:szCs w:val="22"/>
                <w:rtl/>
              </w:rPr>
            </w:pPr>
          </w:p>
        </w:tc>
        <w:tc>
          <w:tcPr>
            <w:tcW w:w="427" w:type="pct"/>
            <w:vMerge/>
            <w:vAlign w:val="center"/>
          </w:tcPr>
          <w:p w14:paraId="77995EC4" w14:textId="77777777" w:rsidR="00661D98" w:rsidRPr="00C85ED3" w:rsidRDefault="00661D98" w:rsidP="00C85ED3">
            <w:pPr>
              <w:bidi w:val="0"/>
              <w:spacing w:line="216" w:lineRule="auto"/>
              <w:jc w:val="center"/>
              <w:rPr>
                <w:color w:val="000000" w:themeColor="text1"/>
                <w:sz w:val="22"/>
                <w:szCs w:val="22"/>
                <w:rtl/>
              </w:rPr>
            </w:pPr>
          </w:p>
        </w:tc>
      </w:tr>
      <w:tr w:rsidR="009C4D0A" w:rsidRPr="00C85ED3" w14:paraId="08519AB5" w14:textId="77777777" w:rsidTr="00C85ED3">
        <w:trPr>
          <w:trHeight w:val="195"/>
          <w:jc w:val="center"/>
        </w:trPr>
        <w:tc>
          <w:tcPr>
            <w:tcW w:w="3240" w:type="pct"/>
            <w:shd w:val="clear" w:color="auto" w:fill="auto"/>
          </w:tcPr>
          <w:p w14:paraId="0360E717" w14:textId="77777777" w:rsidR="00661D98" w:rsidRPr="00C85ED3" w:rsidRDefault="00661D98" w:rsidP="00C85ED3">
            <w:pPr>
              <w:spacing w:line="216" w:lineRule="auto"/>
              <w:jc w:val="lowKashida"/>
              <w:rPr>
                <w:color w:val="000000" w:themeColor="text1"/>
                <w:sz w:val="22"/>
                <w:szCs w:val="22"/>
                <w:rtl/>
                <w:lang w:bidi="ar-EG"/>
              </w:rPr>
            </w:pPr>
            <w:r w:rsidRPr="00C85ED3">
              <w:rPr>
                <w:color w:val="000000" w:themeColor="text1"/>
                <w:sz w:val="22"/>
                <w:szCs w:val="22"/>
                <w:rtl/>
              </w:rPr>
              <w:t xml:space="preserve">يساعد الإفصاح عن الدخل الشامل المستثمرين ‏والدائنين </w:t>
            </w:r>
            <w:proofErr w:type="spellStart"/>
            <w:r w:rsidRPr="00C85ED3">
              <w:rPr>
                <w:color w:val="000000" w:themeColor="text1"/>
                <w:sz w:val="22"/>
                <w:szCs w:val="22"/>
                <w:rtl/>
              </w:rPr>
              <w:t>فى</w:t>
            </w:r>
            <w:proofErr w:type="spellEnd"/>
            <w:r w:rsidRPr="00C85ED3">
              <w:rPr>
                <w:color w:val="000000" w:themeColor="text1"/>
                <w:sz w:val="22"/>
                <w:szCs w:val="22"/>
                <w:rtl/>
              </w:rPr>
              <w:t xml:space="preserve"> التنبؤ بمدى قدرة المنشأة على الوفاء ‏بالتزاماتها </w:t>
            </w:r>
            <w:proofErr w:type="spellStart"/>
            <w:r w:rsidRPr="00C85ED3">
              <w:rPr>
                <w:color w:val="000000" w:themeColor="text1"/>
                <w:sz w:val="22"/>
                <w:szCs w:val="22"/>
                <w:rtl/>
              </w:rPr>
              <w:t>فى</w:t>
            </w:r>
            <w:proofErr w:type="spellEnd"/>
            <w:r w:rsidRPr="00C85ED3">
              <w:rPr>
                <w:color w:val="000000" w:themeColor="text1"/>
                <w:sz w:val="22"/>
                <w:szCs w:val="22"/>
                <w:rtl/>
              </w:rPr>
              <w:t xml:space="preserve"> الوقت المحدد.‏</w:t>
            </w:r>
          </w:p>
        </w:tc>
        <w:tc>
          <w:tcPr>
            <w:tcW w:w="377" w:type="pct"/>
            <w:vAlign w:val="center"/>
          </w:tcPr>
          <w:p w14:paraId="378E0AC3"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8.28</w:t>
            </w:r>
          </w:p>
        </w:tc>
        <w:tc>
          <w:tcPr>
            <w:tcW w:w="388" w:type="pct"/>
            <w:vAlign w:val="center"/>
          </w:tcPr>
          <w:p w14:paraId="5F3FB786"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3</w:t>
            </w:r>
          </w:p>
        </w:tc>
        <w:tc>
          <w:tcPr>
            <w:tcW w:w="567" w:type="pct"/>
            <w:vMerge/>
            <w:vAlign w:val="center"/>
          </w:tcPr>
          <w:p w14:paraId="2A7083F8" w14:textId="77777777" w:rsidR="00661D98" w:rsidRPr="00C85ED3" w:rsidRDefault="00661D98" w:rsidP="00C85ED3">
            <w:pPr>
              <w:bidi w:val="0"/>
              <w:spacing w:line="216" w:lineRule="auto"/>
              <w:jc w:val="center"/>
              <w:rPr>
                <w:color w:val="000000" w:themeColor="text1"/>
                <w:sz w:val="22"/>
                <w:szCs w:val="22"/>
                <w:rtl/>
              </w:rPr>
            </w:pPr>
          </w:p>
        </w:tc>
        <w:tc>
          <w:tcPr>
            <w:tcW w:w="427" w:type="pct"/>
            <w:vMerge/>
            <w:vAlign w:val="center"/>
          </w:tcPr>
          <w:p w14:paraId="39839756" w14:textId="77777777" w:rsidR="00661D98" w:rsidRPr="00C85ED3" w:rsidRDefault="00661D98" w:rsidP="00C85ED3">
            <w:pPr>
              <w:bidi w:val="0"/>
              <w:spacing w:line="216" w:lineRule="auto"/>
              <w:jc w:val="center"/>
              <w:rPr>
                <w:color w:val="000000" w:themeColor="text1"/>
                <w:sz w:val="22"/>
                <w:szCs w:val="22"/>
                <w:rtl/>
              </w:rPr>
            </w:pPr>
          </w:p>
        </w:tc>
      </w:tr>
      <w:tr w:rsidR="009C4D0A" w:rsidRPr="00C85ED3" w14:paraId="5A1B37B3" w14:textId="77777777" w:rsidTr="00C85ED3">
        <w:trPr>
          <w:trHeight w:val="195"/>
          <w:jc w:val="center"/>
        </w:trPr>
        <w:tc>
          <w:tcPr>
            <w:tcW w:w="3240" w:type="pct"/>
            <w:shd w:val="clear" w:color="auto" w:fill="auto"/>
          </w:tcPr>
          <w:p w14:paraId="3DA8CAC6" w14:textId="77777777" w:rsidR="00661D98" w:rsidRPr="00C85ED3" w:rsidRDefault="00661D98" w:rsidP="00C85ED3">
            <w:pPr>
              <w:spacing w:line="216" w:lineRule="auto"/>
              <w:jc w:val="lowKashida"/>
              <w:rPr>
                <w:color w:val="000000" w:themeColor="text1"/>
                <w:sz w:val="22"/>
                <w:szCs w:val="22"/>
                <w:rtl/>
                <w:lang w:bidi="ar-EG"/>
              </w:rPr>
            </w:pPr>
            <w:r w:rsidRPr="00C85ED3">
              <w:rPr>
                <w:color w:val="000000" w:themeColor="text1"/>
                <w:sz w:val="22"/>
                <w:szCs w:val="22"/>
                <w:rtl/>
              </w:rPr>
              <w:t>يوفر الإفصاح عن الدخل الشامل تحليلاً تعتمد عليه ‏الإدارة في اتخاذ القرارات الاستثمارية والائتمانية.‏</w:t>
            </w:r>
          </w:p>
        </w:tc>
        <w:tc>
          <w:tcPr>
            <w:tcW w:w="377" w:type="pct"/>
            <w:vAlign w:val="center"/>
          </w:tcPr>
          <w:p w14:paraId="0F77F08A"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7.93</w:t>
            </w:r>
          </w:p>
        </w:tc>
        <w:tc>
          <w:tcPr>
            <w:tcW w:w="388" w:type="pct"/>
            <w:vAlign w:val="center"/>
          </w:tcPr>
          <w:p w14:paraId="0753931C"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10</w:t>
            </w:r>
          </w:p>
        </w:tc>
        <w:tc>
          <w:tcPr>
            <w:tcW w:w="567" w:type="pct"/>
            <w:vMerge/>
            <w:vAlign w:val="center"/>
          </w:tcPr>
          <w:p w14:paraId="2C3F5CC2" w14:textId="77777777" w:rsidR="00661D98" w:rsidRPr="00C85ED3" w:rsidRDefault="00661D98" w:rsidP="00C85ED3">
            <w:pPr>
              <w:bidi w:val="0"/>
              <w:spacing w:line="216" w:lineRule="auto"/>
              <w:jc w:val="center"/>
              <w:rPr>
                <w:color w:val="000000" w:themeColor="text1"/>
                <w:sz w:val="22"/>
                <w:szCs w:val="22"/>
                <w:rtl/>
              </w:rPr>
            </w:pPr>
          </w:p>
        </w:tc>
        <w:tc>
          <w:tcPr>
            <w:tcW w:w="427" w:type="pct"/>
            <w:vMerge/>
            <w:vAlign w:val="center"/>
          </w:tcPr>
          <w:p w14:paraId="15D6522D" w14:textId="77777777" w:rsidR="00661D98" w:rsidRPr="00C85ED3" w:rsidRDefault="00661D98" w:rsidP="00C85ED3">
            <w:pPr>
              <w:bidi w:val="0"/>
              <w:spacing w:line="216" w:lineRule="auto"/>
              <w:jc w:val="center"/>
              <w:rPr>
                <w:color w:val="000000" w:themeColor="text1"/>
                <w:sz w:val="22"/>
                <w:szCs w:val="22"/>
                <w:rtl/>
              </w:rPr>
            </w:pPr>
          </w:p>
        </w:tc>
      </w:tr>
      <w:tr w:rsidR="009C4D0A" w:rsidRPr="00C85ED3" w14:paraId="6041075B" w14:textId="77777777" w:rsidTr="00C85ED3">
        <w:trPr>
          <w:trHeight w:val="195"/>
          <w:jc w:val="center"/>
        </w:trPr>
        <w:tc>
          <w:tcPr>
            <w:tcW w:w="3240" w:type="pct"/>
            <w:shd w:val="clear" w:color="auto" w:fill="auto"/>
          </w:tcPr>
          <w:p w14:paraId="6134C66F" w14:textId="77777777" w:rsidR="00661D98" w:rsidRPr="00C85ED3" w:rsidRDefault="00661D98" w:rsidP="00C85ED3">
            <w:pPr>
              <w:spacing w:line="216" w:lineRule="auto"/>
              <w:jc w:val="lowKashida"/>
              <w:rPr>
                <w:color w:val="000000" w:themeColor="text1"/>
                <w:sz w:val="22"/>
                <w:szCs w:val="22"/>
                <w:rtl/>
                <w:lang w:bidi="ar-EG"/>
              </w:rPr>
            </w:pPr>
            <w:r w:rsidRPr="00C85ED3">
              <w:rPr>
                <w:color w:val="000000" w:themeColor="text1"/>
                <w:sz w:val="22"/>
                <w:szCs w:val="22"/>
                <w:rtl/>
              </w:rPr>
              <w:t xml:space="preserve">يعد المحتوى </w:t>
            </w:r>
            <w:proofErr w:type="spellStart"/>
            <w:r w:rsidRPr="00C85ED3">
              <w:rPr>
                <w:color w:val="000000" w:themeColor="text1"/>
                <w:sz w:val="22"/>
                <w:szCs w:val="22"/>
                <w:rtl/>
              </w:rPr>
              <w:t>المعلوماتى</w:t>
            </w:r>
            <w:proofErr w:type="spellEnd"/>
            <w:r w:rsidRPr="00C85ED3">
              <w:rPr>
                <w:color w:val="000000" w:themeColor="text1"/>
                <w:sz w:val="22"/>
                <w:szCs w:val="22"/>
                <w:rtl/>
              </w:rPr>
              <w:t xml:space="preserve"> لبنود الدخل الشامل الآخر ‏من أهم مصادر المعلومات المفيدة للمحللين الماليين.‏</w:t>
            </w:r>
          </w:p>
        </w:tc>
        <w:tc>
          <w:tcPr>
            <w:tcW w:w="377" w:type="pct"/>
            <w:vAlign w:val="center"/>
          </w:tcPr>
          <w:p w14:paraId="40AD8C8E"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8.04</w:t>
            </w:r>
          </w:p>
        </w:tc>
        <w:tc>
          <w:tcPr>
            <w:tcW w:w="388" w:type="pct"/>
            <w:vAlign w:val="center"/>
          </w:tcPr>
          <w:p w14:paraId="5CF60391"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9</w:t>
            </w:r>
          </w:p>
        </w:tc>
        <w:tc>
          <w:tcPr>
            <w:tcW w:w="567" w:type="pct"/>
            <w:vMerge/>
            <w:vAlign w:val="center"/>
          </w:tcPr>
          <w:p w14:paraId="64F3C5AA" w14:textId="77777777" w:rsidR="00661D98" w:rsidRPr="00C85ED3" w:rsidRDefault="00661D98" w:rsidP="00C85ED3">
            <w:pPr>
              <w:bidi w:val="0"/>
              <w:spacing w:line="216" w:lineRule="auto"/>
              <w:jc w:val="center"/>
              <w:rPr>
                <w:color w:val="000000" w:themeColor="text1"/>
                <w:sz w:val="22"/>
                <w:szCs w:val="22"/>
                <w:rtl/>
              </w:rPr>
            </w:pPr>
          </w:p>
        </w:tc>
        <w:tc>
          <w:tcPr>
            <w:tcW w:w="427" w:type="pct"/>
            <w:vMerge/>
            <w:vAlign w:val="center"/>
          </w:tcPr>
          <w:p w14:paraId="76F2EB7D" w14:textId="77777777" w:rsidR="00661D98" w:rsidRPr="00C85ED3" w:rsidRDefault="00661D98" w:rsidP="00C85ED3">
            <w:pPr>
              <w:bidi w:val="0"/>
              <w:spacing w:line="216" w:lineRule="auto"/>
              <w:jc w:val="center"/>
              <w:rPr>
                <w:color w:val="000000" w:themeColor="text1"/>
                <w:sz w:val="22"/>
                <w:szCs w:val="22"/>
                <w:rtl/>
              </w:rPr>
            </w:pPr>
          </w:p>
        </w:tc>
      </w:tr>
      <w:tr w:rsidR="009C4D0A" w:rsidRPr="00C85ED3" w14:paraId="6856CFB1" w14:textId="77777777" w:rsidTr="00C85ED3">
        <w:trPr>
          <w:trHeight w:val="195"/>
          <w:jc w:val="center"/>
        </w:trPr>
        <w:tc>
          <w:tcPr>
            <w:tcW w:w="3240" w:type="pct"/>
            <w:shd w:val="clear" w:color="auto" w:fill="auto"/>
          </w:tcPr>
          <w:p w14:paraId="39C40C18" w14:textId="77777777" w:rsidR="00661D98" w:rsidRPr="00C85ED3" w:rsidRDefault="00661D98" w:rsidP="00C85ED3">
            <w:pPr>
              <w:spacing w:line="216" w:lineRule="auto"/>
              <w:jc w:val="lowKashida"/>
              <w:rPr>
                <w:color w:val="000000" w:themeColor="text1"/>
                <w:spacing w:val="-6"/>
                <w:sz w:val="22"/>
                <w:szCs w:val="22"/>
                <w:rtl/>
                <w:lang w:bidi="ar-EG"/>
              </w:rPr>
            </w:pPr>
            <w:r w:rsidRPr="00C85ED3">
              <w:rPr>
                <w:color w:val="000000" w:themeColor="text1"/>
                <w:spacing w:val="-6"/>
                <w:sz w:val="22"/>
                <w:szCs w:val="22"/>
                <w:rtl/>
              </w:rPr>
              <w:t>يقلل الإفصاح عن الدخل الشامل من عدم تماثل ‏المعلومات المتاحة بين الإدارة والمستثمرين.‏</w:t>
            </w:r>
          </w:p>
        </w:tc>
        <w:tc>
          <w:tcPr>
            <w:tcW w:w="377" w:type="pct"/>
            <w:vAlign w:val="center"/>
          </w:tcPr>
          <w:p w14:paraId="3110CCFC"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7.63</w:t>
            </w:r>
          </w:p>
        </w:tc>
        <w:tc>
          <w:tcPr>
            <w:tcW w:w="388" w:type="pct"/>
            <w:vAlign w:val="center"/>
          </w:tcPr>
          <w:p w14:paraId="6C94B856"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13</w:t>
            </w:r>
          </w:p>
        </w:tc>
        <w:tc>
          <w:tcPr>
            <w:tcW w:w="567" w:type="pct"/>
            <w:vMerge/>
            <w:vAlign w:val="center"/>
          </w:tcPr>
          <w:p w14:paraId="20709E73" w14:textId="77777777" w:rsidR="00661D98" w:rsidRPr="00C85ED3" w:rsidRDefault="00661D98" w:rsidP="00C85ED3">
            <w:pPr>
              <w:bidi w:val="0"/>
              <w:spacing w:line="216" w:lineRule="auto"/>
              <w:jc w:val="center"/>
              <w:rPr>
                <w:color w:val="000000" w:themeColor="text1"/>
                <w:sz w:val="22"/>
                <w:szCs w:val="22"/>
                <w:rtl/>
              </w:rPr>
            </w:pPr>
          </w:p>
        </w:tc>
        <w:tc>
          <w:tcPr>
            <w:tcW w:w="427" w:type="pct"/>
            <w:vMerge/>
            <w:vAlign w:val="center"/>
          </w:tcPr>
          <w:p w14:paraId="1B7B6823" w14:textId="77777777" w:rsidR="00661D98" w:rsidRPr="00C85ED3" w:rsidRDefault="00661D98" w:rsidP="00C85ED3">
            <w:pPr>
              <w:bidi w:val="0"/>
              <w:spacing w:line="216" w:lineRule="auto"/>
              <w:jc w:val="center"/>
              <w:rPr>
                <w:color w:val="000000" w:themeColor="text1"/>
                <w:sz w:val="22"/>
                <w:szCs w:val="22"/>
                <w:rtl/>
              </w:rPr>
            </w:pPr>
          </w:p>
        </w:tc>
      </w:tr>
      <w:tr w:rsidR="009C4D0A" w:rsidRPr="00C85ED3" w14:paraId="174B735D" w14:textId="77777777" w:rsidTr="00C85ED3">
        <w:trPr>
          <w:trHeight w:val="195"/>
          <w:jc w:val="center"/>
        </w:trPr>
        <w:tc>
          <w:tcPr>
            <w:tcW w:w="3240" w:type="pct"/>
            <w:shd w:val="clear" w:color="auto" w:fill="auto"/>
          </w:tcPr>
          <w:p w14:paraId="656AB65B" w14:textId="77777777" w:rsidR="00661D98" w:rsidRPr="00C85ED3" w:rsidRDefault="00661D98" w:rsidP="00C85ED3">
            <w:pPr>
              <w:spacing w:line="216" w:lineRule="auto"/>
              <w:jc w:val="lowKashida"/>
              <w:rPr>
                <w:color w:val="000000" w:themeColor="text1"/>
                <w:sz w:val="22"/>
                <w:szCs w:val="22"/>
                <w:rtl/>
                <w:lang w:bidi="ar-EG"/>
              </w:rPr>
            </w:pPr>
            <w:r w:rsidRPr="00C85ED3">
              <w:rPr>
                <w:color w:val="000000" w:themeColor="text1"/>
                <w:sz w:val="22"/>
                <w:szCs w:val="22"/>
                <w:rtl/>
              </w:rPr>
              <w:t xml:space="preserve">تتأثر بنود الدخل الشامل بمجموعة من المخاطر ‏النظامية مثل التغير </w:t>
            </w:r>
            <w:proofErr w:type="spellStart"/>
            <w:r w:rsidRPr="00C85ED3">
              <w:rPr>
                <w:color w:val="000000" w:themeColor="text1"/>
                <w:sz w:val="22"/>
                <w:szCs w:val="22"/>
                <w:rtl/>
              </w:rPr>
              <w:t>فى</w:t>
            </w:r>
            <w:proofErr w:type="spellEnd"/>
            <w:r w:rsidRPr="00C85ED3">
              <w:rPr>
                <w:color w:val="000000" w:themeColor="text1"/>
                <w:sz w:val="22"/>
                <w:szCs w:val="22"/>
                <w:rtl/>
              </w:rPr>
              <w:t xml:space="preserve"> القيمة الشرائية للنقود ‏وتغيرات أسعار الصرف وتغيرات أسعار الفائدة ‏والتضخم.‏</w:t>
            </w:r>
          </w:p>
        </w:tc>
        <w:tc>
          <w:tcPr>
            <w:tcW w:w="377" w:type="pct"/>
            <w:vAlign w:val="center"/>
          </w:tcPr>
          <w:p w14:paraId="49E2A0F7"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7.8</w:t>
            </w:r>
          </w:p>
        </w:tc>
        <w:tc>
          <w:tcPr>
            <w:tcW w:w="388" w:type="pct"/>
            <w:vAlign w:val="center"/>
          </w:tcPr>
          <w:p w14:paraId="164610C1" w14:textId="77777777" w:rsidR="00661D98" w:rsidRPr="00C85ED3" w:rsidRDefault="00661D98" w:rsidP="00C85ED3">
            <w:pPr>
              <w:spacing w:line="216" w:lineRule="auto"/>
              <w:ind w:left="60"/>
              <w:jc w:val="center"/>
              <w:rPr>
                <w:color w:val="000000" w:themeColor="text1"/>
                <w:sz w:val="22"/>
                <w:szCs w:val="22"/>
                <w:rtl/>
              </w:rPr>
            </w:pPr>
            <w:r w:rsidRPr="00C85ED3">
              <w:rPr>
                <w:color w:val="000000" w:themeColor="text1"/>
                <w:sz w:val="22"/>
                <w:szCs w:val="22"/>
                <w:rtl/>
              </w:rPr>
              <w:t>11</w:t>
            </w:r>
          </w:p>
        </w:tc>
        <w:tc>
          <w:tcPr>
            <w:tcW w:w="567" w:type="pct"/>
            <w:vMerge/>
            <w:vAlign w:val="center"/>
          </w:tcPr>
          <w:p w14:paraId="18FD7A9B" w14:textId="77777777" w:rsidR="00661D98" w:rsidRPr="00C85ED3" w:rsidRDefault="00661D98" w:rsidP="00C85ED3">
            <w:pPr>
              <w:bidi w:val="0"/>
              <w:spacing w:line="216" w:lineRule="auto"/>
              <w:jc w:val="center"/>
              <w:rPr>
                <w:color w:val="000000" w:themeColor="text1"/>
                <w:sz w:val="22"/>
                <w:szCs w:val="22"/>
                <w:rtl/>
              </w:rPr>
            </w:pPr>
          </w:p>
        </w:tc>
        <w:tc>
          <w:tcPr>
            <w:tcW w:w="427" w:type="pct"/>
            <w:vMerge/>
            <w:vAlign w:val="center"/>
          </w:tcPr>
          <w:p w14:paraId="4F555284" w14:textId="77777777" w:rsidR="00661D98" w:rsidRPr="00C85ED3" w:rsidRDefault="00661D98" w:rsidP="00C85ED3">
            <w:pPr>
              <w:bidi w:val="0"/>
              <w:spacing w:line="216" w:lineRule="auto"/>
              <w:jc w:val="center"/>
              <w:rPr>
                <w:color w:val="000000" w:themeColor="text1"/>
                <w:sz w:val="22"/>
                <w:szCs w:val="22"/>
                <w:rtl/>
              </w:rPr>
            </w:pPr>
          </w:p>
        </w:tc>
      </w:tr>
      <w:tr w:rsidR="009C4D0A" w:rsidRPr="00C85ED3" w14:paraId="0D6C4EAD" w14:textId="77777777" w:rsidTr="00C85ED3">
        <w:trPr>
          <w:trHeight w:val="195"/>
          <w:jc w:val="center"/>
        </w:trPr>
        <w:tc>
          <w:tcPr>
            <w:tcW w:w="3240" w:type="pct"/>
            <w:shd w:val="clear" w:color="auto" w:fill="auto"/>
          </w:tcPr>
          <w:p w14:paraId="44956F5B" w14:textId="77777777" w:rsidR="00661D98" w:rsidRPr="00C85ED3" w:rsidRDefault="00661D98" w:rsidP="00C24E42">
            <w:pPr>
              <w:jc w:val="lowKashida"/>
              <w:rPr>
                <w:b/>
                <w:bCs/>
                <w:color w:val="000000" w:themeColor="text1"/>
                <w:sz w:val="22"/>
                <w:szCs w:val="22"/>
                <w:rtl/>
                <w:lang w:bidi="ar-EG"/>
              </w:rPr>
            </w:pPr>
            <w:bookmarkStart w:id="10" w:name="_Hlk143014804"/>
            <w:r w:rsidRPr="00C85ED3">
              <w:rPr>
                <w:rFonts w:hint="cs"/>
                <w:color w:val="000000" w:themeColor="text1"/>
                <w:sz w:val="22"/>
                <w:szCs w:val="22"/>
                <w:rtl/>
                <w:lang w:bidi="ar-EG"/>
              </w:rPr>
              <w:t>إ</w:t>
            </w:r>
            <w:r w:rsidRPr="00C85ED3">
              <w:rPr>
                <w:color w:val="000000" w:themeColor="text1"/>
                <w:sz w:val="22"/>
                <w:szCs w:val="22"/>
                <w:rtl/>
              </w:rPr>
              <w:t>عداد نظم حوافز الإدارة على أساس الدخل الشامل ‏يؤدى إلى إجبار الإدارة على الاحتياط لكافة العوامل ‏التي تؤثر على قيمة المنشأة</w:t>
            </w:r>
            <w:bookmarkEnd w:id="10"/>
            <w:r w:rsidRPr="00C85ED3">
              <w:rPr>
                <w:color w:val="000000" w:themeColor="text1"/>
                <w:sz w:val="22"/>
                <w:szCs w:val="22"/>
                <w:rtl/>
              </w:rPr>
              <w:t>.‏</w:t>
            </w:r>
          </w:p>
        </w:tc>
        <w:tc>
          <w:tcPr>
            <w:tcW w:w="377" w:type="pct"/>
            <w:vAlign w:val="center"/>
          </w:tcPr>
          <w:p w14:paraId="33DDD538" w14:textId="77777777" w:rsidR="00661D98" w:rsidRPr="00C85ED3" w:rsidRDefault="00661D98" w:rsidP="00C24E42">
            <w:pPr>
              <w:ind w:left="60"/>
              <w:jc w:val="center"/>
              <w:rPr>
                <w:color w:val="000000" w:themeColor="text1"/>
                <w:sz w:val="22"/>
                <w:szCs w:val="22"/>
                <w:rtl/>
              </w:rPr>
            </w:pPr>
            <w:r w:rsidRPr="00C85ED3">
              <w:rPr>
                <w:color w:val="000000" w:themeColor="text1"/>
                <w:sz w:val="22"/>
                <w:szCs w:val="22"/>
                <w:rtl/>
              </w:rPr>
              <w:t>6.84</w:t>
            </w:r>
          </w:p>
        </w:tc>
        <w:tc>
          <w:tcPr>
            <w:tcW w:w="388" w:type="pct"/>
            <w:vAlign w:val="center"/>
          </w:tcPr>
          <w:p w14:paraId="6049930B" w14:textId="77777777" w:rsidR="00661D98" w:rsidRPr="00C85ED3" w:rsidRDefault="00661D98" w:rsidP="00C24E42">
            <w:pPr>
              <w:ind w:left="60"/>
              <w:jc w:val="center"/>
              <w:rPr>
                <w:color w:val="000000" w:themeColor="text1"/>
                <w:sz w:val="22"/>
                <w:szCs w:val="22"/>
                <w:rtl/>
              </w:rPr>
            </w:pPr>
            <w:r w:rsidRPr="00C85ED3">
              <w:rPr>
                <w:color w:val="000000" w:themeColor="text1"/>
                <w:sz w:val="22"/>
                <w:szCs w:val="22"/>
                <w:rtl/>
              </w:rPr>
              <w:t>15</w:t>
            </w:r>
          </w:p>
        </w:tc>
        <w:tc>
          <w:tcPr>
            <w:tcW w:w="567" w:type="pct"/>
            <w:vMerge/>
            <w:vAlign w:val="center"/>
          </w:tcPr>
          <w:p w14:paraId="019AF4B3" w14:textId="77777777" w:rsidR="00661D98" w:rsidRPr="00C85ED3" w:rsidRDefault="00661D98" w:rsidP="00C24E42">
            <w:pPr>
              <w:bidi w:val="0"/>
              <w:jc w:val="center"/>
              <w:rPr>
                <w:color w:val="000000" w:themeColor="text1"/>
                <w:sz w:val="22"/>
                <w:szCs w:val="22"/>
                <w:rtl/>
              </w:rPr>
            </w:pPr>
          </w:p>
        </w:tc>
        <w:tc>
          <w:tcPr>
            <w:tcW w:w="427" w:type="pct"/>
            <w:vMerge/>
            <w:vAlign w:val="center"/>
          </w:tcPr>
          <w:p w14:paraId="30AA397D" w14:textId="77777777" w:rsidR="00661D98" w:rsidRPr="00C85ED3" w:rsidRDefault="00661D98" w:rsidP="00C24E42">
            <w:pPr>
              <w:bidi w:val="0"/>
              <w:jc w:val="center"/>
              <w:rPr>
                <w:color w:val="000000" w:themeColor="text1"/>
                <w:sz w:val="22"/>
                <w:szCs w:val="22"/>
                <w:rtl/>
              </w:rPr>
            </w:pPr>
          </w:p>
        </w:tc>
      </w:tr>
    </w:tbl>
    <w:p w14:paraId="36934FA9" w14:textId="0E8412CA" w:rsidR="00661D98" w:rsidRPr="00E24FBE" w:rsidRDefault="00661D98" w:rsidP="00C85ED3">
      <w:pPr>
        <w:ind w:firstLine="720"/>
        <w:jc w:val="lowKashida"/>
        <w:rPr>
          <w:color w:val="000000" w:themeColor="text1"/>
          <w:sz w:val="26"/>
          <w:szCs w:val="26"/>
          <w:rtl/>
        </w:rPr>
      </w:pPr>
      <w:r w:rsidRPr="00E24FBE">
        <w:rPr>
          <w:color w:val="000000" w:themeColor="text1"/>
          <w:sz w:val="26"/>
          <w:szCs w:val="26"/>
          <w:rtl/>
          <w:lang w:bidi="ar-EG"/>
        </w:rPr>
        <w:lastRenderedPageBreak/>
        <w:t xml:space="preserve">من الجدول السابق يتضح أن مستوى الدلالة أقل من 0.05 مما يدل على وجود فروق معنوية في الأهمية النسبية حول </w:t>
      </w:r>
      <w:r w:rsidR="00546853" w:rsidRPr="00E24FBE">
        <w:rPr>
          <w:rFonts w:hint="cs"/>
          <w:color w:val="000000" w:themeColor="text1"/>
          <w:sz w:val="26"/>
          <w:szCs w:val="26"/>
          <w:rtl/>
          <w:lang w:bidi="ar-EG"/>
        </w:rPr>
        <w:t>العبارات التي تحدد</w:t>
      </w:r>
      <w:r w:rsidRPr="00E24FBE">
        <w:rPr>
          <w:rFonts w:hint="cs"/>
          <w:color w:val="000000" w:themeColor="text1"/>
          <w:sz w:val="26"/>
          <w:szCs w:val="26"/>
          <w:rtl/>
          <w:lang w:bidi="ar-EG"/>
        </w:rPr>
        <w:t xml:space="preserve"> الفرض الأول.</w:t>
      </w:r>
    </w:p>
    <w:p w14:paraId="6A663ED1" w14:textId="029B4E7E" w:rsidR="00C65B31" w:rsidRPr="00C85ED3" w:rsidRDefault="00C65B31" w:rsidP="00711A38">
      <w:pPr>
        <w:jc w:val="center"/>
        <w:rPr>
          <w:b/>
          <w:bCs/>
          <w:color w:val="000000" w:themeColor="text1"/>
          <w:sz w:val="24"/>
          <w:szCs w:val="24"/>
          <w:rtl/>
          <w:lang w:bidi="ar-EG"/>
        </w:rPr>
      </w:pPr>
      <w:r w:rsidRPr="00C85ED3">
        <w:rPr>
          <w:b/>
          <w:bCs/>
          <w:color w:val="000000" w:themeColor="text1"/>
          <w:sz w:val="24"/>
          <w:szCs w:val="24"/>
          <w:rtl/>
          <w:lang w:bidi="ar-EG"/>
        </w:rPr>
        <w:t>جدول (</w:t>
      </w:r>
      <w:r w:rsidRPr="00C85ED3">
        <w:rPr>
          <w:rFonts w:hint="cs"/>
          <w:b/>
          <w:bCs/>
          <w:color w:val="000000" w:themeColor="text1"/>
          <w:sz w:val="24"/>
          <w:szCs w:val="24"/>
          <w:rtl/>
          <w:lang w:bidi="ar-EG"/>
        </w:rPr>
        <w:t>10</w:t>
      </w:r>
      <w:r w:rsidRPr="00C85ED3">
        <w:rPr>
          <w:b/>
          <w:bCs/>
          <w:color w:val="000000" w:themeColor="text1"/>
          <w:sz w:val="24"/>
          <w:szCs w:val="24"/>
          <w:rtl/>
          <w:lang w:bidi="ar-EG"/>
        </w:rPr>
        <w:t>)</w:t>
      </w:r>
      <w:r w:rsidR="00661D98" w:rsidRPr="00C85ED3">
        <w:rPr>
          <w:rFonts w:hint="cs"/>
          <w:b/>
          <w:bCs/>
          <w:color w:val="000000" w:themeColor="text1"/>
          <w:sz w:val="24"/>
          <w:szCs w:val="24"/>
          <w:rtl/>
          <w:lang w:bidi="ar-EG"/>
        </w:rPr>
        <w:t xml:space="preserve"> </w:t>
      </w:r>
      <w:r w:rsidR="00661D98" w:rsidRPr="00C85ED3">
        <w:rPr>
          <w:rFonts w:eastAsiaTheme="minorEastAsia"/>
          <w:b/>
          <w:bCs/>
          <w:color w:val="000000" w:themeColor="text1"/>
          <w:sz w:val="24"/>
          <w:szCs w:val="24"/>
          <w:rtl/>
        </w:rPr>
        <w:t xml:space="preserve">نتائج تحليل </w:t>
      </w:r>
      <w:r w:rsidR="00661D98" w:rsidRPr="00C85ED3">
        <w:rPr>
          <w:rFonts w:eastAsiaTheme="minorEastAsia" w:hint="cs"/>
          <w:b/>
          <w:bCs/>
          <w:color w:val="000000" w:themeColor="text1"/>
          <w:sz w:val="24"/>
          <w:szCs w:val="24"/>
          <w:rtl/>
        </w:rPr>
        <w:t>الارتباط</w:t>
      </w:r>
      <w:r w:rsidR="00661D98" w:rsidRPr="00C85ED3">
        <w:rPr>
          <w:rFonts w:eastAsiaTheme="minorEastAsia"/>
          <w:b/>
          <w:bCs/>
          <w:color w:val="000000" w:themeColor="text1"/>
          <w:sz w:val="24"/>
          <w:szCs w:val="24"/>
          <w:rtl/>
        </w:rPr>
        <w:t xml:space="preserve"> الخطى البسيط للفرض ا</w:t>
      </w:r>
      <w:r w:rsidR="00661D98" w:rsidRPr="00C85ED3">
        <w:rPr>
          <w:rFonts w:eastAsiaTheme="minorEastAsia" w:hint="cs"/>
          <w:b/>
          <w:bCs/>
          <w:color w:val="000000" w:themeColor="text1"/>
          <w:sz w:val="24"/>
          <w:szCs w:val="24"/>
          <w:rtl/>
        </w:rPr>
        <w:t xml:space="preserve">لأول </w:t>
      </w:r>
      <w:r w:rsidR="00661D98" w:rsidRPr="00C85ED3">
        <w:rPr>
          <w:rFonts w:eastAsiaTheme="minorEastAsia"/>
          <w:b/>
          <w:bCs/>
          <w:color w:val="000000" w:themeColor="text1"/>
          <w:sz w:val="24"/>
          <w:szCs w:val="24"/>
          <w:rtl/>
        </w:rPr>
        <w:t xml:space="preserve">نتائج معامل ارتباط </w:t>
      </w:r>
      <w:proofErr w:type="spellStart"/>
      <w:r w:rsidR="00661D98" w:rsidRPr="00C85ED3">
        <w:rPr>
          <w:rFonts w:eastAsiaTheme="minorEastAsia"/>
          <w:b/>
          <w:bCs/>
          <w:color w:val="000000" w:themeColor="text1"/>
          <w:sz w:val="24"/>
          <w:szCs w:val="24"/>
          <w:rtl/>
        </w:rPr>
        <w:t>سبيرمان</w:t>
      </w:r>
      <w:proofErr w:type="spellEnd"/>
    </w:p>
    <w:tbl>
      <w:tblPr>
        <w:bidiVisual/>
        <w:tblW w:w="4887" w:type="pct"/>
        <w:tblInd w:w="192"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193"/>
        <w:gridCol w:w="1159"/>
        <w:gridCol w:w="1740"/>
        <w:gridCol w:w="1333"/>
        <w:gridCol w:w="1098"/>
      </w:tblGrid>
      <w:tr w:rsidR="009C4D0A" w:rsidRPr="00C85ED3" w14:paraId="7A8EA221" w14:textId="77777777" w:rsidTr="00B50BD5">
        <w:trPr>
          <w:tblHeader/>
        </w:trPr>
        <w:tc>
          <w:tcPr>
            <w:tcW w:w="1873" w:type="pct"/>
            <w:shd w:val="thinDiagCross" w:color="D9D9D9" w:themeColor="background1" w:themeShade="D9" w:fill="FFFFFF" w:themeFill="background1"/>
            <w:vAlign w:val="center"/>
          </w:tcPr>
          <w:p w14:paraId="341244F0" w14:textId="77777777" w:rsidR="002C392E" w:rsidRPr="00C85ED3" w:rsidRDefault="002C392E" w:rsidP="00B50BD5">
            <w:pPr>
              <w:spacing w:line="216" w:lineRule="auto"/>
              <w:jc w:val="center"/>
              <w:rPr>
                <w:rFonts w:eastAsiaTheme="minorEastAsia"/>
                <w:b/>
                <w:bCs/>
                <w:color w:val="000000" w:themeColor="text1"/>
                <w:sz w:val="22"/>
                <w:szCs w:val="22"/>
                <w:rtl/>
              </w:rPr>
            </w:pPr>
            <w:r w:rsidRPr="00C85ED3">
              <w:rPr>
                <w:rFonts w:eastAsiaTheme="minorEastAsia"/>
                <w:b/>
                <w:bCs/>
                <w:color w:val="000000" w:themeColor="text1"/>
                <w:sz w:val="22"/>
                <w:szCs w:val="22"/>
                <w:rtl/>
              </w:rPr>
              <w:t>العلاقات بين المتغيرات</w:t>
            </w:r>
          </w:p>
        </w:tc>
        <w:tc>
          <w:tcPr>
            <w:tcW w:w="680" w:type="pct"/>
            <w:shd w:val="thinDiagCross" w:color="D9D9D9" w:themeColor="background1" w:themeShade="D9" w:fill="FFFFFF" w:themeFill="background1"/>
            <w:vAlign w:val="center"/>
          </w:tcPr>
          <w:p w14:paraId="3BEB694E" w14:textId="77777777" w:rsidR="002C392E" w:rsidRPr="00C85ED3" w:rsidRDefault="002C392E" w:rsidP="00B50BD5">
            <w:pPr>
              <w:spacing w:line="216" w:lineRule="auto"/>
              <w:jc w:val="center"/>
              <w:rPr>
                <w:rFonts w:eastAsiaTheme="minorEastAsia"/>
                <w:b/>
                <w:bCs/>
                <w:color w:val="000000" w:themeColor="text1"/>
                <w:sz w:val="22"/>
                <w:szCs w:val="22"/>
                <w:rtl/>
              </w:rPr>
            </w:pPr>
            <w:r w:rsidRPr="00C85ED3">
              <w:rPr>
                <w:rFonts w:eastAsiaTheme="minorEastAsia"/>
                <w:b/>
                <w:bCs/>
                <w:color w:val="000000" w:themeColor="text1"/>
                <w:sz w:val="22"/>
                <w:szCs w:val="22"/>
                <w:rtl/>
              </w:rPr>
              <w:t>معامل الارتباط</w:t>
            </w:r>
          </w:p>
        </w:tc>
        <w:tc>
          <w:tcPr>
            <w:tcW w:w="1021" w:type="pct"/>
            <w:shd w:val="thinDiagCross" w:color="D9D9D9" w:themeColor="background1" w:themeShade="D9" w:fill="FFFFFF" w:themeFill="background1"/>
            <w:vAlign w:val="center"/>
          </w:tcPr>
          <w:p w14:paraId="5133B611" w14:textId="77777777" w:rsidR="002C392E" w:rsidRPr="00C85ED3" w:rsidRDefault="002C392E" w:rsidP="00B50BD5">
            <w:pPr>
              <w:spacing w:line="216" w:lineRule="auto"/>
              <w:jc w:val="center"/>
              <w:rPr>
                <w:rFonts w:eastAsiaTheme="minorEastAsia"/>
                <w:b/>
                <w:bCs/>
                <w:color w:val="000000" w:themeColor="text1"/>
                <w:sz w:val="22"/>
                <w:szCs w:val="22"/>
                <w:rtl/>
              </w:rPr>
            </w:pPr>
            <w:r w:rsidRPr="00C85ED3">
              <w:rPr>
                <w:rFonts w:eastAsiaTheme="minorEastAsia"/>
                <w:b/>
                <w:bCs/>
                <w:color w:val="000000" w:themeColor="text1"/>
                <w:sz w:val="22"/>
                <w:szCs w:val="22"/>
                <w:rtl/>
              </w:rPr>
              <w:t>التفسير</w:t>
            </w:r>
          </w:p>
        </w:tc>
        <w:tc>
          <w:tcPr>
            <w:tcW w:w="782" w:type="pct"/>
            <w:shd w:val="thinDiagCross" w:color="D9D9D9" w:themeColor="background1" w:themeShade="D9" w:fill="FFFFFF" w:themeFill="background1"/>
            <w:vAlign w:val="center"/>
          </w:tcPr>
          <w:p w14:paraId="47DC971F" w14:textId="77777777" w:rsidR="002C392E" w:rsidRPr="00C85ED3" w:rsidRDefault="002C392E" w:rsidP="00B50BD5">
            <w:pPr>
              <w:spacing w:line="216" w:lineRule="auto"/>
              <w:jc w:val="center"/>
              <w:rPr>
                <w:rFonts w:eastAsiaTheme="minorEastAsia"/>
                <w:b/>
                <w:bCs/>
                <w:color w:val="000000" w:themeColor="text1"/>
                <w:sz w:val="22"/>
                <w:szCs w:val="22"/>
                <w:rtl/>
              </w:rPr>
            </w:pPr>
            <w:r w:rsidRPr="00C85ED3">
              <w:rPr>
                <w:rFonts w:eastAsiaTheme="minorEastAsia"/>
                <w:b/>
                <w:bCs/>
                <w:color w:val="000000" w:themeColor="text1"/>
                <w:sz w:val="22"/>
                <w:szCs w:val="22"/>
                <w:rtl/>
              </w:rPr>
              <w:t xml:space="preserve">مستوى الدلالة </w:t>
            </w:r>
            <w:proofErr w:type="spellStart"/>
            <w:r w:rsidRPr="00C85ED3">
              <w:rPr>
                <w:rFonts w:eastAsiaTheme="minorEastAsia"/>
                <w:b/>
                <w:bCs/>
                <w:color w:val="000000" w:themeColor="text1"/>
                <w:sz w:val="22"/>
                <w:szCs w:val="22"/>
                <w:rtl/>
              </w:rPr>
              <w:t>Sig</w:t>
            </w:r>
            <w:proofErr w:type="spellEnd"/>
            <w:r w:rsidRPr="00C85ED3">
              <w:rPr>
                <w:rFonts w:eastAsiaTheme="minorEastAsia"/>
                <w:b/>
                <w:bCs/>
                <w:color w:val="000000" w:themeColor="text1"/>
                <w:sz w:val="22"/>
                <w:szCs w:val="22"/>
                <w:rtl/>
              </w:rPr>
              <w:t>.</w:t>
            </w:r>
          </w:p>
        </w:tc>
        <w:tc>
          <w:tcPr>
            <w:tcW w:w="645" w:type="pct"/>
            <w:shd w:val="thinDiagCross" w:color="D9D9D9" w:themeColor="background1" w:themeShade="D9" w:fill="FFFFFF" w:themeFill="background1"/>
            <w:vAlign w:val="center"/>
          </w:tcPr>
          <w:p w14:paraId="749E5E25" w14:textId="77777777" w:rsidR="002C392E" w:rsidRPr="00C85ED3" w:rsidRDefault="002C392E" w:rsidP="00B50BD5">
            <w:pPr>
              <w:spacing w:line="216" w:lineRule="auto"/>
              <w:jc w:val="center"/>
              <w:rPr>
                <w:rFonts w:eastAsiaTheme="minorEastAsia"/>
                <w:b/>
                <w:bCs/>
                <w:color w:val="000000" w:themeColor="text1"/>
                <w:sz w:val="22"/>
                <w:szCs w:val="22"/>
                <w:rtl/>
              </w:rPr>
            </w:pPr>
            <w:r w:rsidRPr="00C85ED3">
              <w:rPr>
                <w:rFonts w:eastAsiaTheme="minorEastAsia"/>
                <w:b/>
                <w:bCs/>
                <w:color w:val="000000" w:themeColor="text1"/>
                <w:sz w:val="22"/>
                <w:szCs w:val="22"/>
                <w:rtl/>
              </w:rPr>
              <w:t>مدى المعنوية</w:t>
            </w:r>
          </w:p>
        </w:tc>
      </w:tr>
      <w:tr w:rsidR="009C4D0A" w:rsidRPr="00C85ED3" w14:paraId="5D6424E7" w14:textId="77777777" w:rsidTr="00B50BD5">
        <w:trPr>
          <w:trHeight w:val="559"/>
        </w:trPr>
        <w:tc>
          <w:tcPr>
            <w:tcW w:w="1873" w:type="pct"/>
            <w:shd w:val="clear" w:color="auto" w:fill="auto"/>
            <w:vAlign w:val="center"/>
          </w:tcPr>
          <w:p w14:paraId="4CEED362" w14:textId="77777777" w:rsidR="002C392E" w:rsidRPr="00C85ED3" w:rsidRDefault="002C392E" w:rsidP="00B50BD5">
            <w:pPr>
              <w:spacing w:line="216" w:lineRule="auto"/>
              <w:jc w:val="center"/>
              <w:rPr>
                <w:rFonts w:eastAsiaTheme="minorEastAsia"/>
                <w:color w:val="000000" w:themeColor="text1"/>
                <w:sz w:val="22"/>
                <w:szCs w:val="22"/>
                <w:rtl/>
              </w:rPr>
            </w:pPr>
            <w:r w:rsidRPr="00C85ED3">
              <w:rPr>
                <w:rFonts w:eastAsiaTheme="minorEastAsia"/>
                <w:color w:val="000000" w:themeColor="text1"/>
                <w:sz w:val="22"/>
                <w:szCs w:val="22"/>
                <w:rtl/>
              </w:rPr>
              <w:t>الإفصاح ‏المحاسبي عن الدخل الشامل وكفاءة سوق الأوراق ‏المالية</w:t>
            </w:r>
            <w:r w:rsidRPr="00C85ED3">
              <w:rPr>
                <w:rFonts w:eastAsiaTheme="minorEastAsia" w:hint="cs"/>
                <w:color w:val="000000" w:themeColor="text1"/>
                <w:sz w:val="22"/>
                <w:szCs w:val="22"/>
                <w:rtl/>
              </w:rPr>
              <w:t>.</w:t>
            </w:r>
          </w:p>
        </w:tc>
        <w:tc>
          <w:tcPr>
            <w:tcW w:w="680" w:type="pct"/>
            <w:shd w:val="clear" w:color="auto" w:fill="auto"/>
            <w:vAlign w:val="center"/>
          </w:tcPr>
          <w:p w14:paraId="01303923" w14:textId="77777777" w:rsidR="002C392E" w:rsidRPr="00C85ED3" w:rsidRDefault="002C392E" w:rsidP="00B50BD5">
            <w:pPr>
              <w:spacing w:line="216" w:lineRule="auto"/>
              <w:jc w:val="center"/>
              <w:rPr>
                <w:rFonts w:eastAsiaTheme="minorEastAsia"/>
                <w:color w:val="000000" w:themeColor="text1"/>
                <w:sz w:val="22"/>
                <w:szCs w:val="22"/>
                <w:rtl/>
              </w:rPr>
            </w:pPr>
            <w:r w:rsidRPr="00C85ED3">
              <w:rPr>
                <w:rFonts w:eastAsiaTheme="minorEastAsia"/>
                <w:color w:val="000000" w:themeColor="text1"/>
                <w:sz w:val="22"/>
                <w:szCs w:val="22"/>
                <w:rtl/>
              </w:rPr>
              <w:t>0.74</w:t>
            </w:r>
          </w:p>
        </w:tc>
        <w:tc>
          <w:tcPr>
            <w:tcW w:w="1021" w:type="pct"/>
            <w:shd w:val="clear" w:color="auto" w:fill="auto"/>
            <w:vAlign w:val="center"/>
          </w:tcPr>
          <w:p w14:paraId="320CA1B9" w14:textId="77777777" w:rsidR="002C392E" w:rsidRPr="00C85ED3" w:rsidRDefault="002C392E" w:rsidP="00B50BD5">
            <w:pPr>
              <w:spacing w:line="216" w:lineRule="auto"/>
              <w:jc w:val="center"/>
              <w:rPr>
                <w:rFonts w:eastAsiaTheme="minorEastAsia"/>
                <w:color w:val="000000" w:themeColor="text1"/>
                <w:sz w:val="22"/>
                <w:szCs w:val="22"/>
                <w:rtl/>
              </w:rPr>
            </w:pPr>
            <w:r w:rsidRPr="00C85ED3">
              <w:rPr>
                <w:rFonts w:eastAsiaTheme="minorEastAsia" w:hint="cs"/>
                <w:color w:val="000000" w:themeColor="text1"/>
                <w:sz w:val="22"/>
                <w:szCs w:val="22"/>
                <w:rtl/>
              </w:rPr>
              <w:t>يوجد علاقة طردية متوسطة</w:t>
            </w:r>
          </w:p>
        </w:tc>
        <w:tc>
          <w:tcPr>
            <w:tcW w:w="782" w:type="pct"/>
            <w:shd w:val="clear" w:color="auto" w:fill="auto"/>
            <w:vAlign w:val="center"/>
          </w:tcPr>
          <w:p w14:paraId="29A4FDEB" w14:textId="77777777" w:rsidR="002C392E" w:rsidRPr="00C85ED3" w:rsidRDefault="002C392E" w:rsidP="00B50BD5">
            <w:pPr>
              <w:spacing w:line="216" w:lineRule="auto"/>
              <w:jc w:val="center"/>
              <w:rPr>
                <w:rFonts w:eastAsiaTheme="minorEastAsia"/>
                <w:color w:val="000000" w:themeColor="text1"/>
                <w:sz w:val="22"/>
                <w:szCs w:val="22"/>
                <w:rtl/>
              </w:rPr>
            </w:pPr>
            <w:r w:rsidRPr="00C85ED3">
              <w:rPr>
                <w:rFonts w:eastAsiaTheme="minorEastAsia"/>
                <w:color w:val="000000" w:themeColor="text1"/>
                <w:sz w:val="22"/>
                <w:szCs w:val="22"/>
                <w:rtl/>
              </w:rPr>
              <w:t>0</w:t>
            </w:r>
          </w:p>
        </w:tc>
        <w:tc>
          <w:tcPr>
            <w:tcW w:w="645" w:type="pct"/>
            <w:shd w:val="clear" w:color="auto" w:fill="auto"/>
            <w:vAlign w:val="center"/>
          </w:tcPr>
          <w:p w14:paraId="39ADD8D5" w14:textId="77777777" w:rsidR="002C392E" w:rsidRPr="00C85ED3" w:rsidRDefault="002C392E" w:rsidP="00B50BD5">
            <w:pPr>
              <w:spacing w:line="216" w:lineRule="auto"/>
              <w:jc w:val="center"/>
              <w:rPr>
                <w:rFonts w:eastAsiaTheme="minorEastAsia"/>
                <w:color w:val="000000" w:themeColor="text1"/>
                <w:sz w:val="22"/>
                <w:szCs w:val="22"/>
                <w:rtl/>
              </w:rPr>
            </w:pPr>
            <w:r w:rsidRPr="00C85ED3">
              <w:rPr>
                <w:rFonts w:eastAsiaTheme="minorEastAsia" w:hint="cs"/>
                <w:color w:val="000000" w:themeColor="text1"/>
                <w:sz w:val="22"/>
                <w:szCs w:val="22"/>
                <w:rtl/>
              </w:rPr>
              <w:t>معنوي</w:t>
            </w:r>
          </w:p>
        </w:tc>
      </w:tr>
    </w:tbl>
    <w:p w14:paraId="65E89904" w14:textId="77777777" w:rsidR="002C392E" w:rsidRPr="00E24FBE" w:rsidRDefault="002C392E" w:rsidP="00E06B37">
      <w:pPr>
        <w:spacing w:line="216" w:lineRule="auto"/>
        <w:ind w:firstLine="720"/>
        <w:jc w:val="lowKashida"/>
        <w:rPr>
          <w:noProof/>
          <w:color w:val="000000" w:themeColor="text1"/>
          <w:sz w:val="26"/>
          <w:szCs w:val="26"/>
          <w:rtl/>
          <w:lang w:bidi="ar-EG"/>
        </w:rPr>
      </w:pPr>
      <w:r w:rsidRPr="00E24FBE">
        <w:rPr>
          <w:noProof/>
          <w:color w:val="000000" w:themeColor="text1"/>
          <w:sz w:val="26"/>
          <w:szCs w:val="26"/>
          <w:rtl/>
          <w:lang w:bidi="ar-EG"/>
        </w:rPr>
        <w:t>من الجدول السابق يتضح ما يلي:</w:t>
      </w:r>
    </w:p>
    <w:p w14:paraId="27432C42" w14:textId="6AB53B53" w:rsidR="002C392E" w:rsidRPr="00E24FBE" w:rsidRDefault="002C392E" w:rsidP="002209B2">
      <w:pPr>
        <w:pStyle w:val="ListParagraph"/>
        <w:numPr>
          <w:ilvl w:val="0"/>
          <w:numId w:val="13"/>
        </w:numPr>
        <w:spacing w:line="216" w:lineRule="auto"/>
        <w:ind w:left="227" w:hanging="227"/>
        <w:contextualSpacing w:val="0"/>
        <w:jc w:val="lowKashida"/>
        <w:rPr>
          <w:color w:val="000000" w:themeColor="text1"/>
          <w:sz w:val="26"/>
          <w:szCs w:val="26"/>
          <w:lang w:bidi="ar-EG"/>
        </w:rPr>
      </w:pPr>
      <w:r w:rsidRPr="00E24FBE">
        <w:rPr>
          <w:color w:val="000000" w:themeColor="text1"/>
          <w:sz w:val="26"/>
          <w:szCs w:val="26"/>
          <w:rtl/>
          <w:lang w:bidi="ar-EG"/>
        </w:rPr>
        <w:t>معامل الارتباط بين المتغيرين هو 0.7</w:t>
      </w:r>
      <w:r w:rsidRPr="00E24FBE">
        <w:rPr>
          <w:rFonts w:hint="cs"/>
          <w:color w:val="000000" w:themeColor="text1"/>
          <w:sz w:val="26"/>
          <w:szCs w:val="26"/>
          <w:rtl/>
          <w:lang w:bidi="ar-EG"/>
        </w:rPr>
        <w:t>4</w:t>
      </w:r>
      <w:r w:rsidRPr="00E24FBE">
        <w:rPr>
          <w:color w:val="000000" w:themeColor="text1"/>
          <w:sz w:val="26"/>
          <w:szCs w:val="26"/>
          <w:rtl/>
          <w:lang w:bidi="ar-EG"/>
        </w:rPr>
        <w:t xml:space="preserve"> مما يعني وجود علاقة ايجابية </w:t>
      </w:r>
      <w:r w:rsidRPr="00E24FBE">
        <w:rPr>
          <w:rFonts w:hint="cs"/>
          <w:color w:val="000000" w:themeColor="text1"/>
          <w:sz w:val="26"/>
          <w:szCs w:val="26"/>
          <w:rtl/>
          <w:lang w:bidi="ar-EG"/>
        </w:rPr>
        <w:t>متوسطة</w:t>
      </w:r>
      <w:r w:rsidRPr="00E24FBE">
        <w:rPr>
          <w:color w:val="000000" w:themeColor="text1"/>
          <w:sz w:val="26"/>
          <w:szCs w:val="26"/>
          <w:rtl/>
          <w:lang w:bidi="ar-EG"/>
        </w:rPr>
        <w:t xml:space="preserve"> بين </w:t>
      </w:r>
      <w:r w:rsidRPr="00E24FBE">
        <w:rPr>
          <w:rFonts w:hint="cs"/>
          <w:color w:val="000000" w:themeColor="text1"/>
          <w:sz w:val="26"/>
          <w:szCs w:val="26"/>
          <w:rtl/>
          <w:lang w:bidi="ar-EG"/>
        </w:rPr>
        <w:t>متغيرات الفرض الأول.</w:t>
      </w:r>
    </w:p>
    <w:p w14:paraId="73E23DB2" w14:textId="77777777" w:rsidR="00B50BD5" w:rsidRDefault="00C65B31" w:rsidP="00E06B37">
      <w:pPr>
        <w:spacing w:line="216" w:lineRule="auto"/>
        <w:jc w:val="center"/>
        <w:rPr>
          <w:b/>
          <w:bCs/>
          <w:color w:val="000000" w:themeColor="text1"/>
          <w:sz w:val="26"/>
          <w:szCs w:val="26"/>
          <w:rtl/>
          <w:lang w:bidi="ar-EG"/>
        </w:rPr>
      </w:pPr>
      <w:r w:rsidRPr="00711A38">
        <w:rPr>
          <w:rFonts w:hint="cs"/>
          <w:b/>
          <w:bCs/>
          <w:color w:val="000000" w:themeColor="text1"/>
          <w:sz w:val="26"/>
          <w:szCs w:val="26"/>
          <w:rtl/>
          <w:lang w:bidi="ar-EG"/>
        </w:rPr>
        <w:t>جدول (11</w:t>
      </w:r>
      <w:r w:rsidRPr="00711A38">
        <w:rPr>
          <w:b/>
          <w:bCs/>
          <w:color w:val="000000" w:themeColor="text1"/>
          <w:sz w:val="26"/>
          <w:szCs w:val="26"/>
          <w:rtl/>
          <w:lang w:bidi="ar-EG"/>
        </w:rPr>
        <w:t>)</w:t>
      </w:r>
    </w:p>
    <w:p w14:paraId="60DF3194" w14:textId="6074924B" w:rsidR="00C65B31" w:rsidRPr="00711A38" w:rsidRDefault="002C392E" w:rsidP="00E06B37">
      <w:pPr>
        <w:spacing w:line="216" w:lineRule="auto"/>
        <w:jc w:val="center"/>
        <w:rPr>
          <w:b/>
          <w:bCs/>
          <w:color w:val="000000" w:themeColor="text1"/>
          <w:sz w:val="26"/>
          <w:szCs w:val="26"/>
          <w:rtl/>
          <w:lang w:bidi="ar-EG"/>
        </w:rPr>
      </w:pPr>
      <w:r w:rsidRPr="00711A38">
        <w:rPr>
          <w:b/>
          <w:bCs/>
          <w:color w:val="000000" w:themeColor="text1"/>
          <w:sz w:val="26"/>
          <w:szCs w:val="26"/>
          <w:rtl/>
          <w:lang w:bidi="ar-EG"/>
        </w:rPr>
        <w:t>الاحصاء الوصفي لنتائج آراء العينة حول</w:t>
      </w:r>
      <w:r w:rsidRPr="00711A38">
        <w:rPr>
          <w:rFonts w:hint="cs"/>
          <w:b/>
          <w:bCs/>
          <w:color w:val="000000" w:themeColor="text1"/>
          <w:sz w:val="26"/>
          <w:szCs w:val="26"/>
          <w:rtl/>
          <w:lang w:bidi="ar-EG"/>
        </w:rPr>
        <w:t xml:space="preserve"> العبارات التي تحدد</w:t>
      </w:r>
      <w:r w:rsidR="00C65B31" w:rsidRPr="00711A38">
        <w:rPr>
          <w:rFonts w:hint="cs"/>
          <w:b/>
          <w:bCs/>
          <w:color w:val="000000" w:themeColor="text1"/>
          <w:sz w:val="26"/>
          <w:szCs w:val="26"/>
          <w:rtl/>
          <w:lang w:bidi="ar-EG"/>
        </w:rPr>
        <w:t xml:space="preserve"> متغيرات الفرض</w:t>
      </w:r>
      <w:r w:rsidRPr="00711A38">
        <w:rPr>
          <w:rFonts w:hint="cs"/>
          <w:b/>
          <w:bCs/>
          <w:color w:val="000000" w:themeColor="text1"/>
          <w:sz w:val="26"/>
          <w:szCs w:val="26"/>
          <w:rtl/>
          <w:lang w:bidi="ar-EG"/>
        </w:rPr>
        <w:t xml:space="preserve"> </w:t>
      </w:r>
      <w:proofErr w:type="spellStart"/>
      <w:r w:rsidRPr="00711A38">
        <w:rPr>
          <w:rFonts w:hint="cs"/>
          <w:b/>
          <w:bCs/>
          <w:color w:val="000000" w:themeColor="text1"/>
          <w:sz w:val="26"/>
          <w:szCs w:val="26"/>
          <w:rtl/>
          <w:lang w:bidi="ar-EG"/>
        </w:rPr>
        <w:t>الفرعى</w:t>
      </w:r>
      <w:proofErr w:type="spellEnd"/>
      <w:r w:rsidRPr="00711A38">
        <w:rPr>
          <w:rFonts w:hint="cs"/>
          <w:b/>
          <w:bCs/>
          <w:color w:val="000000" w:themeColor="text1"/>
          <w:sz w:val="26"/>
          <w:szCs w:val="26"/>
          <w:rtl/>
          <w:lang w:bidi="ar-EG"/>
        </w:rPr>
        <w:t xml:space="preserve"> الأول</w:t>
      </w:r>
    </w:p>
    <w:tbl>
      <w:tblPr>
        <w:bidiVisual/>
        <w:tblW w:w="5468"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880"/>
        <w:gridCol w:w="639"/>
        <w:gridCol w:w="659"/>
        <w:gridCol w:w="614"/>
        <w:gridCol w:w="647"/>
        <w:gridCol w:w="986"/>
      </w:tblGrid>
      <w:tr w:rsidR="009C4D0A" w:rsidRPr="00C85ED3" w14:paraId="1012E88F" w14:textId="77777777" w:rsidTr="00B50BD5">
        <w:trPr>
          <w:trHeight w:val="20"/>
          <w:tblHeader/>
          <w:jc w:val="center"/>
        </w:trPr>
        <w:tc>
          <w:tcPr>
            <w:tcW w:w="3136" w:type="pct"/>
            <w:shd w:val="thinDiagCross" w:color="D9D9D9" w:themeColor="background1" w:themeShade="D9" w:fill="FFFFFF" w:themeFill="background1"/>
            <w:vAlign w:val="center"/>
            <w:hideMark/>
          </w:tcPr>
          <w:p w14:paraId="543BB277" w14:textId="03C9A6B5" w:rsidR="002C392E" w:rsidRPr="00C85ED3" w:rsidRDefault="002C392E" w:rsidP="00C85ED3">
            <w:pPr>
              <w:spacing w:line="228" w:lineRule="auto"/>
              <w:ind w:left="-58"/>
              <w:jc w:val="center"/>
              <w:rPr>
                <w:b/>
                <w:bCs/>
                <w:color w:val="000000" w:themeColor="text1"/>
                <w:sz w:val="22"/>
                <w:szCs w:val="22"/>
                <w:rtl/>
                <w:lang w:bidi="ar-EG"/>
              </w:rPr>
            </w:pPr>
            <w:r w:rsidRPr="00C85ED3">
              <w:rPr>
                <w:b/>
                <w:bCs/>
                <w:color w:val="000000" w:themeColor="text1"/>
                <w:sz w:val="22"/>
                <w:szCs w:val="22"/>
                <w:rtl/>
              </w:rPr>
              <w:t>العبارات</w:t>
            </w:r>
          </w:p>
        </w:tc>
        <w:tc>
          <w:tcPr>
            <w:tcW w:w="345" w:type="pct"/>
            <w:shd w:val="thinDiagCross" w:color="D9D9D9" w:themeColor="background1" w:themeShade="D9" w:fill="FFFFFF" w:themeFill="background1"/>
            <w:vAlign w:val="center"/>
            <w:hideMark/>
          </w:tcPr>
          <w:p w14:paraId="113A5374" w14:textId="77777777" w:rsidR="002C392E" w:rsidRPr="00C85ED3" w:rsidRDefault="002C392E" w:rsidP="00C85ED3">
            <w:pPr>
              <w:spacing w:line="228" w:lineRule="auto"/>
              <w:ind w:left="-58"/>
              <w:jc w:val="center"/>
              <w:rPr>
                <w:b/>
                <w:bCs/>
                <w:color w:val="000000" w:themeColor="text1"/>
                <w:sz w:val="22"/>
                <w:szCs w:val="22"/>
                <w:rtl/>
              </w:rPr>
            </w:pPr>
            <w:r w:rsidRPr="00C85ED3">
              <w:rPr>
                <w:b/>
                <w:bCs/>
                <w:color w:val="000000" w:themeColor="text1"/>
                <w:sz w:val="22"/>
                <w:szCs w:val="22"/>
                <w:rtl/>
              </w:rPr>
              <w:t>المتوسط المرجح</w:t>
            </w:r>
          </w:p>
        </w:tc>
        <w:tc>
          <w:tcPr>
            <w:tcW w:w="335" w:type="pct"/>
            <w:shd w:val="thinDiagCross" w:color="D9D9D9" w:themeColor="background1" w:themeShade="D9" w:fill="FFFFFF" w:themeFill="background1"/>
            <w:vAlign w:val="center"/>
            <w:hideMark/>
          </w:tcPr>
          <w:p w14:paraId="05A042EA" w14:textId="77777777" w:rsidR="002C392E" w:rsidRPr="00C85ED3" w:rsidRDefault="002C392E" w:rsidP="00C85ED3">
            <w:pPr>
              <w:spacing w:line="228" w:lineRule="auto"/>
              <w:ind w:left="-58"/>
              <w:jc w:val="center"/>
              <w:rPr>
                <w:b/>
                <w:bCs/>
                <w:color w:val="000000" w:themeColor="text1"/>
                <w:sz w:val="22"/>
                <w:szCs w:val="22"/>
                <w:rtl/>
              </w:rPr>
            </w:pPr>
            <w:r w:rsidRPr="00C85ED3">
              <w:rPr>
                <w:b/>
                <w:bCs/>
                <w:color w:val="000000" w:themeColor="text1"/>
                <w:sz w:val="22"/>
                <w:szCs w:val="22"/>
                <w:rtl/>
              </w:rPr>
              <w:t>الانحراف المعياري</w:t>
            </w:r>
          </w:p>
        </w:tc>
        <w:tc>
          <w:tcPr>
            <w:tcW w:w="352" w:type="pct"/>
            <w:shd w:val="thinDiagCross" w:color="D9D9D9" w:themeColor="background1" w:themeShade="D9" w:fill="FFFFFF" w:themeFill="background1"/>
            <w:vAlign w:val="center"/>
            <w:hideMark/>
          </w:tcPr>
          <w:p w14:paraId="7033C034" w14:textId="77777777" w:rsidR="002C392E" w:rsidRPr="00C85ED3" w:rsidRDefault="002C392E" w:rsidP="00C85ED3">
            <w:pPr>
              <w:spacing w:line="228" w:lineRule="auto"/>
              <w:ind w:left="-58"/>
              <w:jc w:val="center"/>
              <w:rPr>
                <w:b/>
                <w:bCs/>
                <w:color w:val="000000" w:themeColor="text1"/>
                <w:sz w:val="22"/>
                <w:szCs w:val="22"/>
                <w:rtl/>
              </w:rPr>
            </w:pPr>
            <w:r w:rsidRPr="00C85ED3">
              <w:rPr>
                <w:b/>
                <w:bCs/>
                <w:color w:val="000000" w:themeColor="text1"/>
                <w:sz w:val="22"/>
                <w:szCs w:val="22"/>
                <w:rtl/>
              </w:rPr>
              <w:t>درجة الموافقة</w:t>
            </w:r>
          </w:p>
        </w:tc>
        <w:tc>
          <w:tcPr>
            <w:tcW w:w="293" w:type="pct"/>
            <w:shd w:val="thinDiagCross" w:color="D9D9D9" w:themeColor="background1" w:themeShade="D9" w:fill="FFFFFF" w:themeFill="background1"/>
            <w:vAlign w:val="center"/>
            <w:hideMark/>
          </w:tcPr>
          <w:p w14:paraId="0C6189BF" w14:textId="77777777" w:rsidR="002C392E" w:rsidRPr="00C85ED3" w:rsidRDefault="002C392E" w:rsidP="00C85ED3">
            <w:pPr>
              <w:spacing w:line="228" w:lineRule="auto"/>
              <w:ind w:left="-58"/>
              <w:jc w:val="center"/>
              <w:rPr>
                <w:b/>
                <w:bCs/>
                <w:color w:val="000000" w:themeColor="text1"/>
                <w:sz w:val="22"/>
                <w:szCs w:val="22"/>
                <w:rtl/>
              </w:rPr>
            </w:pPr>
            <w:r w:rsidRPr="00C85ED3">
              <w:rPr>
                <w:b/>
                <w:bCs/>
                <w:color w:val="000000" w:themeColor="text1"/>
                <w:sz w:val="22"/>
                <w:szCs w:val="22"/>
                <w:rtl/>
              </w:rPr>
              <w:t>قيمة t</w:t>
            </w:r>
          </w:p>
        </w:tc>
        <w:tc>
          <w:tcPr>
            <w:tcW w:w="539" w:type="pct"/>
            <w:shd w:val="thinDiagCross" w:color="D9D9D9" w:themeColor="background1" w:themeShade="D9" w:fill="FFFFFF" w:themeFill="background1"/>
            <w:vAlign w:val="center"/>
            <w:hideMark/>
          </w:tcPr>
          <w:p w14:paraId="14EE2BCC" w14:textId="77777777" w:rsidR="002C392E" w:rsidRPr="00C85ED3" w:rsidRDefault="002C392E" w:rsidP="00C85ED3">
            <w:pPr>
              <w:spacing w:line="228" w:lineRule="auto"/>
              <w:ind w:left="-58"/>
              <w:jc w:val="center"/>
              <w:rPr>
                <w:b/>
                <w:bCs/>
                <w:color w:val="000000" w:themeColor="text1"/>
                <w:sz w:val="22"/>
                <w:szCs w:val="22"/>
                <w:rtl/>
              </w:rPr>
            </w:pPr>
            <w:r w:rsidRPr="00C85ED3">
              <w:rPr>
                <w:b/>
                <w:bCs/>
                <w:color w:val="000000" w:themeColor="text1"/>
                <w:sz w:val="22"/>
                <w:szCs w:val="22"/>
                <w:rtl/>
              </w:rPr>
              <w:t xml:space="preserve">مستوى الدلالة </w:t>
            </w:r>
            <w:proofErr w:type="spellStart"/>
            <w:r w:rsidRPr="00C85ED3">
              <w:rPr>
                <w:b/>
                <w:bCs/>
                <w:color w:val="000000" w:themeColor="text1"/>
                <w:sz w:val="22"/>
                <w:szCs w:val="22"/>
                <w:rtl/>
              </w:rPr>
              <w:t>Sig</w:t>
            </w:r>
            <w:proofErr w:type="spellEnd"/>
            <w:r w:rsidRPr="00C85ED3">
              <w:rPr>
                <w:b/>
                <w:bCs/>
                <w:color w:val="000000" w:themeColor="text1"/>
                <w:sz w:val="22"/>
                <w:szCs w:val="22"/>
                <w:rtl/>
              </w:rPr>
              <w:t>.</w:t>
            </w:r>
          </w:p>
        </w:tc>
      </w:tr>
      <w:tr w:rsidR="009C4D0A" w:rsidRPr="00C85ED3" w14:paraId="5B4604A2" w14:textId="77777777" w:rsidTr="00B50BD5">
        <w:trPr>
          <w:trHeight w:val="20"/>
          <w:jc w:val="center"/>
        </w:trPr>
        <w:tc>
          <w:tcPr>
            <w:tcW w:w="3136" w:type="pct"/>
          </w:tcPr>
          <w:p w14:paraId="4070794F" w14:textId="77777777" w:rsidR="002C392E" w:rsidRPr="00C85ED3" w:rsidRDefault="002C392E" w:rsidP="00C85ED3">
            <w:pPr>
              <w:pStyle w:val="ListParagraph"/>
              <w:numPr>
                <w:ilvl w:val="0"/>
                <w:numId w:val="14"/>
              </w:numPr>
              <w:spacing w:line="228" w:lineRule="auto"/>
              <w:ind w:left="357" w:hanging="357"/>
              <w:contextualSpacing w:val="0"/>
              <w:jc w:val="lowKashida"/>
              <w:rPr>
                <w:color w:val="000000" w:themeColor="text1"/>
                <w:sz w:val="22"/>
                <w:szCs w:val="22"/>
                <w:rtl/>
                <w:lang w:bidi="ar-EG"/>
              </w:rPr>
            </w:pPr>
            <w:r w:rsidRPr="00C85ED3">
              <w:rPr>
                <w:color w:val="000000" w:themeColor="text1"/>
                <w:sz w:val="22"/>
                <w:szCs w:val="22"/>
                <w:rtl/>
              </w:rPr>
              <w:t xml:space="preserve">يساعد الإفصاح عن المكاسب والخسائر الناتجة عن ‏إعادة تقييم الأصول المالية المتاحة للبيع </w:t>
            </w:r>
            <w:proofErr w:type="spellStart"/>
            <w:r w:rsidRPr="00C85ED3">
              <w:rPr>
                <w:color w:val="000000" w:themeColor="text1"/>
                <w:sz w:val="22"/>
                <w:szCs w:val="22"/>
                <w:rtl/>
              </w:rPr>
              <w:t>مستخدمى</w:t>
            </w:r>
            <w:proofErr w:type="spellEnd"/>
            <w:r w:rsidRPr="00C85ED3">
              <w:rPr>
                <w:color w:val="000000" w:themeColor="text1"/>
                <w:sz w:val="22"/>
                <w:szCs w:val="22"/>
                <w:rtl/>
              </w:rPr>
              <w:t xml:space="preserve"> ‏القوائم المالية خاصة المستثمرين المحترفين والمحللين ‏الماليين في الحصول على مقياس أكثر دقة للقيمة ‏العادلة لاستثمارات المنشآت التي لديها محافظ استثمارية ‏كبيرة.‏</w:t>
            </w:r>
          </w:p>
        </w:tc>
        <w:tc>
          <w:tcPr>
            <w:tcW w:w="345" w:type="pct"/>
            <w:shd w:val="clear" w:color="auto" w:fill="auto"/>
            <w:vAlign w:val="center"/>
          </w:tcPr>
          <w:p w14:paraId="35EAB0DA"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4.1</w:t>
            </w:r>
          </w:p>
        </w:tc>
        <w:tc>
          <w:tcPr>
            <w:tcW w:w="335" w:type="pct"/>
            <w:shd w:val="clear" w:color="auto" w:fill="auto"/>
            <w:vAlign w:val="center"/>
          </w:tcPr>
          <w:p w14:paraId="078F7D48"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0.71</w:t>
            </w:r>
          </w:p>
        </w:tc>
        <w:tc>
          <w:tcPr>
            <w:tcW w:w="352" w:type="pct"/>
            <w:shd w:val="clear" w:color="auto" w:fill="auto"/>
            <w:vAlign w:val="center"/>
          </w:tcPr>
          <w:p w14:paraId="26C5DDB8" w14:textId="77777777" w:rsidR="002C392E" w:rsidRPr="00C85ED3" w:rsidRDefault="002C392E" w:rsidP="00C85ED3">
            <w:pPr>
              <w:spacing w:line="228" w:lineRule="auto"/>
              <w:jc w:val="center"/>
              <w:rPr>
                <w:color w:val="000000" w:themeColor="text1"/>
                <w:sz w:val="22"/>
                <w:szCs w:val="22"/>
                <w:rtl/>
              </w:rPr>
            </w:pPr>
            <w:r w:rsidRPr="00C85ED3">
              <w:rPr>
                <w:color w:val="000000" w:themeColor="text1"/>
                <w:sz w:val="22"/>
                <w:szCs w:val="22"/>
                <w:rtl/>
              </w:rPr>
              <w:t>الموافقة</w:t>
            </w:r>
          </w:p>
        </w:tc>
        <w:tc>
          <w:tcPr>
            <w:tcW w:w="293" w:type="pct"/>
            <w:shd w:val="clear" w:color="auto" w:fill="auto"/>
            <w:vAlign w:val="center"/>
          </w:tcPr>
          <w:p w14:paraId="0FD795EB"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11.04</w:t>
            </w:r>
          </w:p>
        </w:tc>
        <w:tc>
          <w:tcPr>
            <w:tcW w:w="539" w:type="pct"/>
            <w:shd w:val="clear" w:color="auto" w:fill="auto"/>
            <w:vAlign w:val="center"/>
          </w:tcPr>
          <w:p w14:paraId="5C9F0314"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0</w:t>
            </w:r>
          </w:p>
        </w:tc>
      </w:tr>
      <w:tr w:rsidR="009C4D0A" w:rsidRPr="00C85ED3" w14:paraId="11559351" w14:textId="77777777" w:rsidTr="00B50BD5">
        <w:trPr>
          <w:trHeight w:val="20"/>
          <w:jc w:val="center"/>
        </w:trPr>
        <w:tc>
          <w:tcPr>
            <w:tcW w:w="3136" w:type="pct"/>
          </w:tcPr>
          <w:p w14:paraId="282CAA0C" w14:textId="77777777" w:rsidR="002C392E" w:rsidRPr="00C85ED3" w:rsidRDefault="002C392E" w:rsidP="00C85ED3">
            <w:pPr>
              <w:pStyle w:val="ListParagraph"/>
              <w:numPr>
                <w:ilvl w:val="0"/>
                <w:numId w:val="14"/>
              </w:numPr>
              <w:spacing w:line="228" w:lineRule="auto"/>
              <w:ind w:left="357" w:hanging="357"/>
              <w:contextualSpacing w:val="0"/>
              <w:jc w:val="lowKashida"/>
              <w:rPr>
                <w:color w:val="000000" w:themeColor="text1"/>
                <w:spacing w:val="-4"/>
                <w:sz w:val="22"/>
                <w:szCs w:val="22"/>
                <w:rtl/>
                <w:lang w:bidi="ar-EG"/>
              </w:rPr>
            </w:pPr>
            <w:r w:rsidRPr="00C85ED3">
              <w:rPr>
                <w:color w:val="000000" w:themeColor="text1"/>
                <w:spacing w:val="-4"/>
                <w:sz w:val="22"/>
                <w:szCs w:val="22"/>
                <w:rtl/>
              </w:rPr>
              <w:t>يوضح الإفصاح عن المكاسب والخسائر الناتجة عن ‏إعادة تقييم الأصول المالية المتاحة للبيع كيفية إدارة ‏المنشأة لاستثماراتها ويمكن من التنبؤ بالخسائر ‏المحتملة.‏</w:t>
            </w:r>
          </w:p>
        </w:tc>
        <w:tc>
          <w:tcPr>
            <w:tcW w:w="345" w:type="pct"/>
            <w:shd w:val="clear" w:color="auto" w:fill="auto"/>
            <w:vAlign w:val="center"/>
          </w:tcPr>
          <w:p w14:paraId="5484571D"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4.1</w:t>
            </w:r>
          </w:p>
        </w:tc>
        <w:tc>
          <w:tcPr>
            <w:tcW w:w="335" w:type="pct"/>
            <w:shd w:val="clear" w:color="auto" w:fill="auto"/>
            <w:vAlign w:val="center"/>
          </w:tcPr>
          <w:p w14:paraId="740EDBAF"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0.72</w:t>
            </w:r>
          </w:p>
        </w:tc>
        <w:tc>
          <w:tcPr>
            <w:tcW w:w="352" w:type="pct"/>
            <w:shd w:val="clear" w:color="auto" w:fill="auto"/>
            <w:vAlign w:val="center"/>
          </w:tcPr>
          <w:p w14:paraId="790EB4D8" w14:textId="77777777" w:rsidR="002C392E" w:rsidRPr="00C85ED3" w:rsidRDefault="002C392E" w:rsidP="00C85ED3">
            <w:pPr>
              <w:spacing w:line="228" w:lineRule="auto"/>
              <w:jc w:val="center"/>
              <w:rPr>
                <w:color w:val="000000" w:themeColor="text1"/>
                <w:sz w:val="22"/>
                <w:szCs w:val="22"/>
                <w:rtl/>
              </w:rPr>
            </w:pPr>
            <w:r w:rsidRPr="00C85ED3">
              <w:rPr>
                <w:color w:val="000000" w:themeColor="text1"/>
                <w:sz w:val="22"/>
                <w:szCs w:val="22"/>
                <w:rtl/>
              </w:rPr>
              <w:t>الموافقة</w:t>
            </w:r>
          </w:p>
        </w:tc>
        <w:tc>
          <w:tcPr>
            <w:tcW w:w="293" w:type="pct"/>
            <w:shd w:val="clear" w:color="auto" w:fill="auto"/>
            <w:vAlign w:val="center"/>
          </w:tcPr>
          <w:p w14:paraId="443CAE71"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11.02</w:t>
            </w:r>
          </w:p>
        </w:tc>
        <w:tc>
          <w:tcPr>
            <w:tcW w:w="539" w:type="pct"/>
            <w:shd w:val="clear" w:color="auto" w:fill="auto"/>
            <w:vAlign w:val="center"/>
          </w:tcPr>
          <w:p w14:paraId="66FCF526"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0</w:t>
            </w:r>
          </w:p>
        </w:tc>
      </w:tr>
      <w:tr w:rsidR="009C4D0A" w:rsidRPr="00C85ED3" w14:paraId="044EC01A" w14:textId="77777777" w:rsidTr="00B50BD5">
        <w:trPr>
          <w:trHeight w:val="20"/>
          <w:jc w:val="center"/>
        </w:trPr>
        <w:tc>
          <w:tcPr>
            <w:tcW w:w="3136" w:type="pct"/>
          </w:tcPr>
          <w:p w14:paraId="1B013C1B" w14:textId="77777777" w:rsidR="002C392E" w:rsidRPr="00C85ED3" w:rsidRDefault="002C392E" w:rsidP="00C85ED3">
            <w:pPr>
              <w:pStyle w:val="ListParagraph"/>
              <w:numPr>
                <w:ilvl w:val="0"/>
                <w:numId w:val="14"/>
              </w:numPr>
              <w:spacing w:line="228" w:lineRule="auto"/>
              <w:ind w:left="357" w:hanging="357"/>
              <w:contextualSpacing w:val="0"/>
              <w:jc w:val="lowKashida"/>
              <w:rPr>
                <w:color w:val="000000" w:themeColor="text1"/>
                <w:sz w:val="22"/>
                <w:szCs w:val="22"/>
                <w:rtl/>
                <w:lang w:bidi="ar-EG"/>
              </w:rPr>
            </w:pPr>
            <w:r w:rsidRPr="00C85ED3">
              <w:rPr>
                <w:color w:val="000000" w:themeColor="text1"/>
                <w:sz w:val="22"/>
                <w:szCs w:val="22"/>
                <w:rtl/>
              </w:rPr>
              <w:t xml:space="preserve">يعتبر الإفصاح عن المكاسب والخسائر الناتجة عن ‏إعادة تقييم الأصول المالية المتاحة للبيع مؤشر لإدارة ‏الأرباح المحتملة عند معرفة نوايا الإدارة من تصنيف ‏الأدوات المالية، بالنظر إلى الأصول المالية بقائمة ‏المركز </w:t>
            </w:r>
            <w:proofErr w:type="spellStart"/>
            <w:r w:rsidRPr="00C85ED3">
              <w:rPr>
                <w:color w:val="000000" w:themeColor="text1"/>
                <w:sz w:val="22"/>
                <w:szCs w:val="22"/>
                <w:rtl/>
              </w:rPr>
              <w:t>المالى</w:t>
            </w:r>
            <w:proofErr w:type="spellEnd"/>
            <w:r w:rsidRPr="00C85ED3">
              <w:rPr>
                <w:color w:val="000000" w:themeColor="text1"/>
                <w:sz w:val="22"/>
                <w:szCs w:val="22"/>
                <w:rtl/>
              </w:rPr>
              <w:t xml:space="preserve"> للمنشأة وبالنظر الى المكاسب والخسائر ‏التي يتم تحقيقها من خلال تسويات إعادة التبويب.‏</w:t>
            </w:r>
          </w:p>
        </w:tc>
        <w:tc>
          <w:tcPr>
            <w:tcW w:w="345" w:type="pct"/>
            <w:shd w:val="clear" w:color="auto" w:fill="auto"/>
            <w:vAlign w:val="center"/>
          </w:tcPr>
          <w:p w14:paraId="196B9BB2"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3.9</w:t>
            </w:r>
          </w:p>
        </w:tc>
        <w:tc>
          <w:tcPr>
            <w:tcW w:w="335" w:type="pct"/>
            <w:shd w:val="clear" w:color="auto" w:fill="auto"/>
            <w:vAlign w:val="center"/>
          </w:tcPr>
          <w:p w14:paraId="5040C4DE"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0.74</w:t>
            </w:r>
          </w:p>
        </w:tc>
        <w:tc>
          <w:tcPr>
            <w:tcW w:w="352" w:type="pct"/>
            <w:shd w:val="clear" w:color="auto" w:fill="auto"/>
            <w:vAlign w:val="center"/>
          </w:tcPr>
          <w:p w14:paraId="5FCD643E" w14:textId="77777777" w:rsidR="002C392E" w:rsidRPr="00C85ED3" w:rsidRDefault="002C392E" w:rsidP="00C85ED3">
            <w:pPr>
              <w:spacing w:line="228" w:lineRule="auto"/>
              <w:jc w:val="center"/>
              <w:rPr>
                <w:color w:val="000000" w:themeColor="text1"/>
                <w:sz w:val="22"/>
                <w:szCs w:val="22"/>
                <w:rtl/>
              </w:rPr>
            </w:pPr>
            <w:r w:rsidRPr="00C85ED3">
              <w:rPr>
                <w:color w:val="000000" w:themeColor="text1"/>
                <w:sz w:val="22"/>
                <w:szCs w:val="22"/>
                <w:rtl/>
              </w:rPr>
              <w:t>الموافقة</w:t>
            </w:r>
          </w:p>
        </w:tc>
        <w:tc>
          <w:tcPr>
            <w:tcW w:w="293" w:type="pct"/>
            <w:shd w:val="clear" w:color="auto" w:fill="auto"/>
            <w:vAlign w:val="center"/>
          </w:tcPr>
          <w:p w14:paraId="658B986E"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7.32</w:t>
            </w:r>
          </w:p>
        </w:tc>
        <w:tc>
          <w:tcPr>
            <w:tcW w:w="539" w:type="pct"/>
            <w:shd w:val="clear" w:color="auto" w:fill="auto"/>
            <w:vAlign w:val="center"/>
          </w:tcPr>
          <w:p w14:paraId="3763A21B"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0</w:t>
            </w:r>
          </w:p>
        </w:tc>
      </w:tr>
      <w:tr w:rsidR="009C4D0A" w:rsidRPr="00C85ED3" w14:paraId="2CE82D90" w14:textId="77777777" w:rsidTr="00B50BD5">
        <w:trPr>
          <w:trHeight w:val="20"/>
          <w:jc w:val="center"/>
        </w:trPr>
        <w:tc>
          <w:tcPr>
            <w:tcW w:w="3136" w:type="pct"/>
          </w:tcPr>
          <w:p w14:paraId="5C2C5433" w14:textId="77777777" w:rsidR="002C392E" w:rsidRPr="00C85ED3" w:rsidRDefault="002C392E" w:rsidP="00C85ED3">
            <w:pPr>
              <w:pStyle w:val="ListParagraph"/>
              <w:numPr>
                <w:ilvl w:val="0"/>
                <w:numId w:val="14"/>
              </w:numPr>
              <w:spacing w:line="228" w:lineRule="auto"/>
              <w:ind w:left="357" w:hanging="357"/>
              <w:contextualSpacing w:val="0"/>
              <w:jc w:val="lowKashida"/>
              <w:rPr>
                <w:color w:val="000000" w:themeColor="text1"/>
                <w:sz w:val="22"/>
                <w:szCs w:val="22"/>
                <w:rtl/>
                <w:lang w:bidi="ar-EG"/>
              </w:rPr>
            </w:pPr>
            <w:r w:rsidRPr="00C85ED3">
              <w:rPr>
                <w:color w:val="000000" w:themeColor="text1"/>
                <w:sz w:val="22"/>
                <w:szCs w:val="22"/>
                <w:rtl/>
              </w:rPr>
              <w:t>يعبر الإفصاح عن المكاسب والخسائر الناتجة عن إعادة ‏تقييم الأصول المالية المتاحة للبيع عن مدى قدرة ‏المنشأة ونجاحها على توليد وزيادة أرباح المساهمين من ‏خلال الاستخدام الأمثل للأموال المستثمرة.‏</w:t>
            </w:r>
          </w:p>
        </w:tc>
        <w:tc>
          <w:tcPr>
            <w:tcW w:w="345" w:type="pct"/>
            <w:shd w:val="clear" w:color="auto" w:fill="auto"/>
            <w:vAlign w:val="center"/>
          </w:tcPr>
          <w:p w14:paraId="2BA70F8E"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4.1</w:t>
            </w:r>
          </w:p>
        </w:tc>
        <w:tc>
          <w:tcPr>
            <w:tcW w:w="335" w:type="pct"/>
            <w:shd w:val="clear" w:color="auto" w:fill="auto"/>
            <w:vAlign w:val="center"/>
          </w:tcPr>
          <w:p w14:paraId="430C8B0F"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0.65</w:t>
            </w:r>
          </w:p>
        </w:tc>
        <w:tc>
          <w:tcPr>
            <w:tcW w:w="352" w:type="pct"/>
            <w:shd w:val="clear" w:color="auto" w:fill="auto"/>
            <w:vAlign w:val="center"/>
          </w:tcPr>
          <w:p w14:paraId="533F9B6F" w14:textId="77777777" w:rsidR="002C392E" w:rsidRPr="00C85ED3" w:rsidRDefault="002C392E" w:rsidP="00C85ED3">
            <w:pPr>
              <w:spacing w:line="228" w:lineRule="auto"/>
              <w:jc w:val="center"/>
              <w:rPr>
                <w:color w:val="000000" w:themeColor="text1"/>
                <w:sz w:val="22"/>
                <w:szCs w:val="22"/>
                <w:rtl/>
              </w:rPr>
            </w:pPr>
            <w:r w:rsidRPr="00C85ED3">
              <w:rPr>
                <w:color w:val="000000" w:themeColor="text1"/>
                <w:sz w:val="22"/>
                <w:szCs w:val="22"/>
                <w:rtl/>
              </w:rPr>
              <w:t>الموافقة</w:t>
            </w:r>
          </w:p>
        </w:tc>
        <w:tc>
          <w:tcPr>
            <w:tcW w:w="293" w:type="pct"/>
            <w:shd w:val="clear" w:color="auto" w:fill="auto"/>
            <w:vAlign w:val="center"/>
          </w:tcPr>
          <w:p w14:paraId="4A3ADB1F"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12.38</w:t>
            </w:r>
          </w:p>
        </w:tc>
        <w:tc>
          <w:tcPr>
            <w:tcW w:w="539" w:type="pct"/>
            <w:shd w:val="clear" w:color="auto" w:fill="auto"/>
            <w:vAlign w:val="center"/>
          </w:tcPr>
          <w:p w14:paraId="4EF52062"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0</w:t>
            </w:r>
          </w:p>
        </w:tc>
      </w:tr>
      <w:tr w:rsidR="009C4D0A" w:rsidRPr="00C85ED3" w14:paraId="1FA39973" w14:textId="77777777" w:rsidTr="00B50BD5">
        <w:trPr>
          <w:trHeight w:val="20"/>
          <w:jc w:val="center"/>
        </w:trPr>
        <w:tc>
          <w:tcPr>
            <w:tcW w:w="3136" w:type="pct"/>
          </w:tcPr>
          <w:p w14:paraId="6228BE9C" w14:textId="77777777" w:rsidR="002C392E" w:rsidRPr="00C85ED3" w:rsidRDefault="002C392E" w:rsidP="00C85ED3">
            <w:pPr>
              <w:pStyle w:val="ListParagraph"/>
              <w:numPr>
                <w:ilvl w:val="0"/>
                <w:numId w:val="14"/>
              </w:numPr>
              <w:spacing w:line="228" w:lineRule="auto"/>
              <w:ind w:left="357" w:hanging="357"/>
              <w:contextualSpacing w:val="0"/>
              <w:jc w:val="lowKashida"/>
              <w:rPr>
                <w:color w:val="000000" w:themeColor="text1"/>
                <w:sz w:val="22"/>
                <w:szCs w:val="22"/>
                <w:rtl/>
                <w:lang w:bidi="ar-EG"/>
              </w:rPr>
            </w:pPr>
            <w:r w:rsidRPr="00C85ED3">
              <w:rPr>
                <w:color w:val="000000" w:themeColor="text1"/>
                <w:sz w:val="22"/>
                <w:szCs w:val="22"/>
                <w:rtl/>
              </w:rPr>
              <w:t>يساعد الإفصاح عن المكاسب والخسائر الناتجة عن ‏إعادة تقييم الأصول المالية المتاحة للبيع على زيادة ثقة ‏المقرضين في المنشأة ومن ثم الحصول على سعر فائدة ‏منخفض نسبياً.‏</w:t>
            </w:r>
          </w:p>
        </w:tc>
        <w:tc>
          <w:tcPr>
            <w:tcW w:w="345" w:type="pct"/>
            <w:shd w:val="clear" w:color="auto" w:fill="auto"/>
            <w:vAlign w:val="center"/>
          </w:tcPr>
          <w:p w14:paraId="50254395"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4</w:t>
            </w:r>
          </w:p>
        </w:tc>
        <w:tc>
          <w:tcPr>
            <w:tcW w:w="335" w:type="pct"/>
            <w:shd w:val="clear" w:color="auto" w:fill="auto"/>
            <w:vAlign w:val="center"/>
          </w:tcPr>
          <w:p w14:paraId="409E8DF6"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0.83</w:t>
            </w:r>
          </w:p>
        </w:tc>
        <w:tc>
          <w:tcPr>
            <w:tcW w:w="352" w:type="pct"/>
            <w:shd w:val="clear" w:color="auto" w:fill="auto"/>
            <w:vAlign w:val="center"/>
          </w:tcPr>
          <w:p w14:paraId="1DB8E040" w14:textId="77777777" w:rsidR="002C392E" w:rsidRPr="00C85ED3" w:rsidRDefault="002C392E" w:rsidP="00C85ED3">
            <w:pPr>
              <w:spacing w:line="228" w:lineRule="auto"/>
              <w:jc w:val="center"/>
              <w:rPr>
                <w:color w:val="000000" w:themeColor="text1"/>
                <w:sz w:val="22"/>
                <w:szCs w:val="22"/>
                <w:rtl/>
              </w:rPr>
            </w:pPr>
            <w:r w:rsidRPr="00C85ED3">
              <w:rPr>
                <w:color w:val="000000" w:themeColor="text1"/>
                <w:sz w:val="22"/>
                <w:szCs w:val="22"/>
                <w:rtl/>
              </w:rPr>
              <w:t>الموافقة</w:t>
            </w:r>
          </w:p>
        </w:tc>
        <w:tc>
          <w:tcPr>
            <w:tcW w:w="293" w:type="pct"/>
            <w:shd w:val="clear" w:color="auto" w:fill="auto"/>
            <w:vAlign w:val="center"/>
          </w:tcPr>
          <w:p w14:paraId="587FAE79"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7.44</w:t>
            </w:r>
          </w:p>
        </w:tc>
        <w:tc>
          <w:tcPr>
            <w:tcW w:w="539" w:type="pct"/>
            <w:shd w:val="clear" w:color="auto" w:fill="auto"/>
            <w:vAlign w:val="center"/>
          </w:tcPr>
          <w:p w14:paraId="35552CC7"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0</w:t>
            </w:r>
          </w:p>
        </w:tc>
      </w:tr>
      <w:tr w:rsidR="009C4D0A" w:rsidRPr="00C85ED3" w14:paraId="6C885B07" w14:textId="77777777" w:rsidTr="00B50BD5">
        <w:trPr>
          <w:trHeight w:val="20"/>
          <w:jc w:val="center"/>
        </w:trPr>
        <w:tc>
          <w:tcPr>
            <w:tcW w:w="3136" w:type="pct"/>
            <w:shd w:val="clear" w:color="auto" w:fill="D9D9D9" w:themeFill="background1" w:themeFillShade="D9"/>
          </w:tcPr>
          <w:p w14:paraId="62428B5F" w14:textId="33B450B4" w:rsidR="002C392E" w:rsidRPr="00C85ED3" w:rsidRDefault="002C392E" w:rsidP="00C85ED3">
            <w:pPr>
              <w:pStyle w:val="NoSpacing"/>
              <w:spacing w:line="228" w:lineRule="auto"/>
              <w:jc w:val="center"/>
              <w:rPr>
                <w:rFonts w:ascii="Times New Roman" w:hAnsi="Times New Roman" w:cs="Simplified Arabic"/>
                <w:color w:val="000000" w:themeColor="text1"/>
                <w:rtl/>
                <w:lang w:bidi="ar-EG"/>
              </w:rPr>
            </w:pPr>
            <w:r w:rsidRPr="00C85ED3">
              <w:rPr>
                <w:rFonts w:ascii="Times New Roman" w:hAnsi="Times New Roman" w:cs="Simplified Arabic"/>
                <w:color w:val="000000" w:themeColor="text1"/>
                <w:rtl/>
                <w:lang w:bidi="ar-EG"/>
              </w:rPr>
              <w:t>الإجمالي</w:t>
            </w:r>
          </w:p>
        </w:tc>
        <w:tc>
          <w:tcPr>
            <w:tcW w:w="345" w:type="pct"/>
            <w:shd w:val="clear" w:color="auto" w:fill="auto"/>
            <w:vAlign w:val="center"/>
          </w:tcPr>
          <w:p w14:paraId="2DE99700"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4</w:t>
            </w:r>
          </w:p>
        </w:tc>
        <w:tc>
          <w:tcPr>
            <w:tcW w:w="335" w:type="pct"/>
            <w:shd w:val="clear" w:color="auto" w:fill="auto"/>
            <w:vAlign w:val="center"/>
          </w:tcPr>
          <w:p w14:paraId="7552AC85" w14:textId="77777777" w:rsidR="002C392E" w:rsidRPr="00C85ED3" w:rsidRDefault="002C392E" w:rsidP="00C85ED3">
            <w:pPr>
              <w:bidi w:val="0"/>
              <w:spacing w:line="228" w:lineRule="auto"/>
              <w:jc w:val="center"/>
              <w:rPr>
                <w:color w:val="000000" w:themeColor="text1"/>
                <w:sz w:val="22"/>
                <w:szCs w:val="22"/>
                <w:rtl/>
              </w:rPr>
            </w:pPr>
            <w:r w:rsidRPr="00C85ED3">
              <w:rPr>
                <w:color w:val="000000" w:themeColor="text1"/>
                <w:sz w:val="22"/>
                <w:szCs w:val="22"/>
                <w:rtl/>
              </w:rPr>
              <w:t>0.73</w:t>
            </w:r>
          </w:p>
        </w:tc>
        <w:tc>
          <w:tcPr>
            <w:tcW w:w="352" w:type="pct"/>
            <w:shd w:val="clear" w:color="auto" w:fill="auto"/>
            <w:vAlign w:val="center"/>
          </w:tcPr>
          <w:p w14:paraId="7FB15C21" w14:textId="77777777" w:rsidR="002C392E" w:rsidRPr="00C85ED3" w:rsidRDefault="002C392E" w:rsidP="00C85ED3">
            <w:pPr>
              <w:spacing w:line="228" w:lineRule="auto"/>
              <w:jc w:val="center"/>
              <w:rPr>
                <w:color w:val="000000" w:themeColor="text1"/>
                <w:sz w:val="22"/>
                <w:szCs w:val="22"/>
                <w:rtl/>
              </w:rPr>
            </w:pPr>
          </w:p>
        </w:tc>
        <w:tc>
          <w:tcPr>
            <w:tcW w:w="293" w:type="pct"/>
            <w:shd w:val="clear" w:color="auto" w:fill="auto"/>
            <w:vAlign w:val="center"/>
          </w:tcPr>
          <w:p w14:paraId="52285AE5" w14:textId="77777777" w:rsidR="002C392E" w:rsidRPr="00C85ED3" w:rsidRDefault="002C392E" w:rsidP="00C85ED3">
            <w:pPr>
              <w:bidi w:val="0"/>
              <w:spacing w:line="228" w:lineRule="auto"/>
              <w:jc w:val="center"/>
              <w:rPr>
                <w:color w:val="000000" w:themeColor="text1"/>
                <w:sz w:val="22"/>
                <w:szCs w:val="22"/>
                <w:rtl/>
              </w:rPr>
            </w:pPr>
          </w:p>
        </w:tc>
        <w:tc>
          <w:tcPr>
            <w:tcW w:w="539" w:type="pct"/>
            <w:shd w:val="clear" w:color="auto" w:fill="auto"/>
            <w:vAlign w:val="center"/>
          </w:tcPr>
          <w:p w14:paraId="7133D53C" w14:textId="77777777" w:rsidR="002C392E" w:rsidRPr="00C85ED3" w:rsidRDefault="002C392E" w:rsidP="00C85ED3">
            <w:pPr>
              <w:bidi w:val="0"/>
              <w:spacing w:line="228" w:lineRule="auto"/>
              <w:jc w:val="center"/>
              <w:rPr>
                <w:color w:val="000000" w:themeColor="text1"/>
                <w:sz w:val="22"/>
                <w:szCs w:val="22"/>
                <w:rtl/>
              </w:rPr>
            </w:pPr>
          </w:p>
        </w:tc>
      </w:tr>
    </w:tbl>
    <w:p w14:paraId="4618FBAD" w14:textId="699E6C61" w:rsidR="002C392E" w:rsidRPr="00E24FBE" w:rsidRDefault="002C392E" w:rsidP="00C24E42">
      <w:pPr>
        <w:ind w:firstLine="720"/>
        <w:jc w:val="lowKashida"/>
        <w:rPr>
          <w:color w:val="000000" w:themeColor="text1"/>
          <w:sz w:val="26"/>
          <w:szCs w:val="26"/>
          <w:rtl/>
          <w:lang w:bidi="ar-EG"/>
        </w:rPr>
      </w:pPr>
      <w:r w:rsidRPr="00E24FBE">
        <w:rPr>
          <w:color w:val="000000" w:themeColor="text1"/>
          <w:sz w:val="26"/>
          <w:szCs w:val="26"/>
          <w:rtl/>
        </w:rPr>
        <w:t xml:space="preserve">يتضح من الجدول السابق أن مستوى الدلالة أقل من 0.05 مما يعني وجود دلالة معنوية أي أنه تمت الموافقة على جميع </w:t>
      </w:r>
      <w:r w:rsidR="00546853" w:rsidRPr="00E24FBE">
        <w:rPr>
          <w:rFonts w:hint="cs"/>
          <w:color w:val="000000" w:themeColor="text1"/>
          <w:sz w:val="26"/>
          <w:szCs w:val="26"/>
          <w:rtl/>
        </w:rPr>
        <w:t>عبارات</w:t>
      </w:r>
      <w:r w:rsidRPr="00E24FBE">
        <w:rPr>
          <w:rFonts w:hint="cs"/>
          <w:color w:val="000000" w:themeColor="text1"/>
          <w:sz w:val="26"/>
          <w:szCs w:val="26"/>
          <w:rtl/>
        </w:rPr>
        <w:t xml:space="preserve"> الفرض </w:t>
      </w:r>
      <w:proofErr w:type="spellStart"/>
      <w:r w:rsidRPr="00E24FBE">
        <w:rPr>
          <w:rFonts w:hint="cs"/>
          <w:color w:val="000000" w:themeColor="text1"/>
          <w:sz w:val="26"/>
          <w:szCs w:val="26"/>
          <w:rtl/>
        </w:rPr>
        <w:t>الفرعى</w:t>
      </w:r>
      <w:proofErr w:type="spellEnd"/>
      <w:r w:rsidRPr="00E24FBE">
        <w:rPr>
          <w:rFonts w:hint="cs"/>
          <w:color w:val="000000" w:themeColor="text1"/>
          <w:sz w:val="26"/>
          <w:szCs w:val="26"/>
          <w:rtl/>
        </w:rPr>
        <w:t xml:space="preserve"> الأول.</w:t>
      </w:r>
      <w:r w:rsidRPr="00E24FBE">
        <w:rPr>
          <w:rFonts w:hint="cs"/>
          <w:color w:val="000000" w:themeColor="text1"/>
          <w:sz w:val="26"/>
          <w:szCs w:val="26"/>
          <w:rtl/>
          <w:lang w:bidi="ar-EG"/>
        </w:rPr>
        <w:t xml:space="preserve"> </w:t>
      </w:r>
    </w:p>
    <w:p w14:paraId="7E0AF88D" w14:textId="77777777" w:rsidR="00E06B37" w:rsidRDefault="00C65B31" w:rsidP="00C85ED3">
      <w:pPr>
        <w:spacing w:line="192" w:lineRule="auto"/>
        <w:jc w:val="center"/>
        <w:rPr>
          <w:b/>
          <w:bCs/>
          <w:color w:val="000000" w:themeColor="text1"/>
          <w:sz w:val="26"/>
          <w:szCs w:val="26"/>
          <w:rtl/>
          <w:lang w:bidi="ar-EG"/>
        </w:rPr>
      </w:pPr>
      <w:r w:rsidRPr="001B65C0">
        <w:rPr>
          <w:b/>
          <w:bCs/>
          <w:color w:val="000000" w:themeColor="text1"/>
          <w:sz w:val="26"/>
          <w:szCs w:val="26"/>
          <w:rtl/>
          <w:lang w:bidi="ar-EG"/>
        </w:rPr>
        <w:lastRenderedPageBreak/>
        <w:t>جدول (</w:t>
      </w:r>
      <w:r w:rsidRPr="001B65C0">
        <w:rPr>
          <w:rFonts w:hint="cs"/>
          <w:b/>
          <w:bCs/>
          <w:color w:val="000000" w:themeColor="text1"/>
          <w:sz w:val="26"/>
          <w:szCs w:val="26"/>
          <w:rtl/>
          <w:lang w:bidi="ar-EG"/>
        </w:rPr>
        <w:t>1</w:t>
      </w:r>
      <w:r w:rsidR="002C392E" w:rsidRPr="001B65C0">
        <w:rPr>
          <w:rFonts w:hint="cs"/>
          <w:b/>
          <w:bCs/>
          <w:color w:val="000000" w:themeColor="text1"/>
          <w:sz w:val="26"/>
          <w:szCs w:val="26"/>
          <w:rtl/>
          <w:lang w:bidi="ar-EG"/>
        </w:rPr>
        <w:t>4</w:t>
      </w:r>
      <w:r w:rsidRPr="001B65C0">
        <w:rPr>
          <w:b/>
          <w:bCs/>
          <w:color w:val="000000" w:themeColor="text1"/>
          <w:sz w:val="26"/>
          <w:szCs w:val="26"/>
          <w:rtl/>
          <w:lang w:bidi="ar-EG"/>
        </w:rPr>
        <w:t>)</w:t>
      </w:r>
    </w:p>
    <w:p w14:paraId="73F3DE00" w14:textId="05EE37C8" w:rsidR="00C65B31" w:rsidRPr="001B65C0" w:rsidRDefault="002C392E" w:rsidP="00C85ED3">
      <w:pPr>
        <w:spacing w:line="192" w:lineRule="auto"/>
        <w:jc w:val="center"/>
        <w:rPr>
          <w:b/>
          <w:bCs/>
          <w:color w:val="000000" w:themeColor="text1"/>
          <w:sz w:val="26"/>
          <w:szCs w:val="26"/>
          <w:rtl/>
          <w:lang w:bidi="ar-EG"/>
        </w:rPr>
      </w:pPr>
      <w:r w:rsidRPr="001B65C0">
        <w:rPr>
          <w:b/>
          <w:bCs/>
          <w:color w:val="000000" w:themeColor="text1"/>
          <w:sz w:val="26"/>
          <w:szCs w:val="26"/>
          <w:rtl/>
          <w:lang w:bidi="ar-EG"/>
        </w:rPr>
        <w:t xml:space="preserve">الاحصاء الوصفي لنتائج آراء </w:t>
      </w:r>
      <w:r w:rsidRPr="001B65C0">
        <w:rPr>
          <w:rFonts w:hint="cs"/>
          <w:b/>
          <w:bCs/>
          <w:color w:val="000000" w:themeColor="text1"/>
          <w:sz w:val="26"/>
          <w:szCs w:val="26"/>
          <w:rtl/>
          <w:lang w:bidi="ar-EG"/>
        </w:rPr>
        <w:t>العينة حول العبارات</w:t>
      </w:r>
      <w:r w:rsidRPr="001B65C0">
        <w:rPr>
          <w:rFonts w:eastAsiaTheme="minorEastAsia" w:hint="cs"/>
          <w:b/>
          <w:bCs/>
          <w:color w:val="000000" w:themeColor="text1"/>
          <w:sz w:val="26"/>
          <w:szCs w:val="26"/>
          <w:rtl/>
        </w:rPr>
        <w:t xml:space="preserve"> </w:t>
      </w:r>
      <w:r w:rsidR="00C65B31" w:rsidRPr="001B65C0">
        <w:rPr>
          <w:rFonts w:hint="cs"/>
          <w:b/>
          <w:bCs/>
          <w:color w:val="000000" w:themeColor="text1"/>
          <w:sz w:val="26"/>
          <w:szCs w:val="26"/>
          <w:rtl/>
          <w:lang w:bidi="ar-EG"/>
        </w:rPr>
        <w:t xml:space="preserve">التي تحدد متغيرات الفرض </w:t>
      </w:r>
      <w:proofErr w:type="spellStart"/>
      <w:r w:rsidRPr="001B65C0">
        <w:rPr>
          <w:rFonts w:hint="cs"/>
          <w:b/>
          <w:bCs/>
          <w:color w:val="000000" w:themeColor="text1"/>
          <w:sz w:val="26"/>
          <w:szCs w:val="26"/>
          <w:rtl/>
          <w:lang w:bidi="ar-EG"/>
        </w:rPr>
        <w:t>الفرعى</w:t>
      </w:r>
      <w:proofErr w:type="spellEnd"/>
      <w:r w:rsidRPr="001B65C0">
        <w:rPr>
          <w:rFonts w:hint="cs"/>
          <w:b/>
          <w:bCs/>
          <w:color w:val="000000" w:themeColor="text1"/>
          <w:sz w:val="26"/>
          <w:szCs w:val="26"/>
          <w:rtl/>
          <w:lang w:bidi="ar-EG"/>
        </w:rPr>
        <w:t xml:space="preserve"> </w:t>
      </w:r>
      <w:proofErr w:type="spellStart"/>
      <w:r w:rsidRPr="001B65C0">
        <w:rPr>
          <w:rFonts w:hint="cs"/>
          <w:b/>
          <w:bCs/>
          <w:color w:val="000000" w:themeColor="text1"/>
          <w:sz w:val="26"/>
          <w:szCs w:val="26"/>
          <w:rtl/>
          <w:lang w:bidi="ar-EG"/>
        </w:rPr>
        <w:t>الثانى</w:t>
      </w:r>
      <w:proofErr w:type="spellEnd"/>
    </w:p>
    <w:tbl>
      <w:tblPr>
        <w:bidiVisual/>
        <w:tblW w:w="5472"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0"/>
        <w:gridCol w:w="734"/>
        <w:gridCol w:w="838"/>
        <w:gridCol w:w="724"/>
        <w:gridCol w:w="743"/>
        <w:gridCol w:w="1013"/>
      </w:tblGrid>
      <w:tr w:rsidR="009C4D0A" w:rsidRPr="00C85ED3" w14:paraId="5179E222" w14:textId="77777777" w:rsidTr="00C85ED3">
        <w:trPr>
          <w:trHeight w:val="20"/>
          <w:tblHeader/>
          <w:jc w:val="center"/>
        </w:trPr>
        <w:tc>
          <w:tcPr>
            <w:tcW w:w="2851" w:type="pct"/>
            <w:shd w:val="thinDiagCross" w:color="D9D9D9" w:themeColor="background1" w:themeShade="D9" w:fill="FFFFFF" w:themeFill="background1"/>
            <w:vAlign w:val="center"/>
            <w:hideMark/>
          </w:tcPr>
          <w:p w14:paraId="41FA4DD2" w14:textId="2DBB875C" w:rsidR="00317A4A" w:rsidRPr="00C85ED3" w:rsidRDefault="00317A4A" w:rsidP="00C85ED3">
            <w:pPr>
              <w:spacing w:line="192" w:lineRule="auto"/>
              <w:ind w:left="-58"/>
              <w:jc w:val="center"/>
              <w:rPr>
                <w:b/>
                <w:bCs/>
                <w:color w:val="000000" w:themeColor="text1"/>
                <w:sz w:val="24"/>
                <w:szCs w:val="24"/>
                <w:rtl/>
              </w:rPr>
            </w:pPr>
            <w:r w:rsidRPr="00C85ED3">
              <w:rPr>
                <w:rFonts w:hint="cs"/>
                <w:b/>
                <w:bCs/>
                <w:color w:val="000000" w:themeColor="text1"/>
                <w:sz w:val="24"/>
                <w:szCs w:val="24"/>
                <w:rtl/>
              </w:rPr>
              <w:t xml:space="preserve"> </w:t>
            </w:r>
            <w:r w:rsidRPr="00C85ED3">
              <w:rPr>
                <w:b/>
                <w:bCs/>
                <w:color w:val="000000" w:themeColor="text1"/>
                <w:sz w:val="24"/>
                <w:szCs w:val="24"/>
                <w:rtl/>
              </w:rPr>
              <w:t>العبارات</w:t>
            </w:r>
          </w:p>
        </w:tc>
        <w:tc>
          <w:tcPr>
            <w:tcW w:w="389" w:type="pct"/>
            <w:shd w:val="thinDiagCross" w:color="D9D9D9" w:themeColor="background1" w:themeShade="D9" w:fill="FFFFFF" w:themeFill="background1"/>
            <w:vAlign w:val="center"/>
            <w:hideMark/>
          </w:tcPr>
          <w:p w14:paraId="3A88383F" w14:textId="77777777" w:rsidR="00317A4A" w:rsidRPr="00C85ED3" w:rsidRDefault="00317A4A" w:rsidP="00C85ED3">
            <w:pPr>
              <w:spacing w:line="192" w:lineRule="auto"/>
              <w:ind w:left="-58"/>
              <w:jc w:val="center"/>
              <w:rPr>
                <w:b/>
                <w:bCs/>
                <w:color w:val="000000" w:themeColor="text1"/>
                <w:sz w:val="24"/>
                <w:szCs w:val="24"/>
                <w:rtl/>
              </w:rPr>
            </w:pPr>
            <w:r w:rsidRPr="00C85ED3">
              <w:rPr>
                <w:b/>
                <w:bCs/>
                <w:color w:val="000000" w:themeColor="text1"/>
                <w:sz w:val="24"/>
                <w:szCs w:val="24"/>
                <w:rtl/>
              </w:rPr>
              <w:t>المتوسط المرجح</w:t>
            </w:r>
          </w:p>
        </w:tc>
        <w:tc>
          <w:tcPr>
            <w:tcW w:w="444" w:type="pct"/>
            <w:shd w:val="thinDiagCross" w:color="D9D9D9" w:themeColor="background1" w:themeShade="D9" w:fill="FFFFFF" w:themeFill="background1"/>
            <w:vAlign w:val="center"/>
            <w:hideMark/>
          </w:tcPr>
          <w:p w14:paraId="16E2A341" w14:textId="77777777" w:rsidR="00317A4A" w:rsidRPr="00C85ED3" w:rsidRDefault="00317A4A" w:rsidP="00C85ED3">
            <w:pPr>
              <w:spacing w:line="192" w:lineRule="auto"/>
              <w:ind w:left="-58"/>
              <w:jc w:val="center"/>
              <w:rPr>
                <w:b/>
                <w:bCs/>
                <w:color w:val="000000" w:themeColor="text1"/>
                <w:sz w:val="24"/>
                <w:szCs w:val="24"/>
                <w:rtl/>
              </w:rPr>
            </w:pPr>
            <w:r w:rsidRPr="00C85ED3">
              <w:rPr>
                <w:b/>
                <w:bCs/>
                <w:color w:val="000000" w:themeColor="text1"/>
                <w:sz w:val="24"/>
                <w:szCs w:val="24"/>
                <w:rtl/>
              </w:rPr>
              <w:t>الانحراف المعياري</w:t>
            </w:r>
          </w:p>
        </w:tc>
        <w:tc>
          <w:tcPr>
            <w:tcW w:w="384" w:type="pct"/>
            <w:shd w:val="thinDiagCross" w:color="D9D9D9" w:themeColor="background1" w:themeShade="D9" w:fill="FFFFFF" w:themeFill="background1"/>
            <w:vAlign w:val="center"/>
            <w:hideMark/>
          </w:tcPr>
          <w:p w14:paraId="0F9DAA57" w14:textId="77777777" w:rsidR="00317A4A" w:rsidRPr="00C85ED3" w:rsidRDefault="00317A4A" w:rsidP="00C85ED3">
            <w:pPr>
              <w:spacing w:line="192" w:lineRule="auto"/>
              <w:ind w:left="-58"/>
              <w:jc w:val="center"/>
              <w:rPr>
                <w:b/>
                <w:bCs/>
                <w:color w:val="000000" w:themeColor="text1"/>
                <w:sz w:val="24"/>
                <w:szCs w:val="24"/>
                <w:rtl/>
              </w:rPr>
            </w:pPr>
            <w:r w:rsidRPr="00C85ED3">
              <w:rPr>
                <w:b/>
                <w:bCs/>
                <w:color w:val="000000" w:themeColor="text1"/>
                <w:sz w:val="24"/>
                <w:szCs w:val="24"/>
                <w:rtl/>
              </w:rPr>
              <w:t>درجة الموافقة</w:t>
            </w:r>
          </w:p>
        </w:tc>
        <w:tc>
          <w:tcPr>
            <w:tcW w:w="394" w:type="pct"/>
            <w:shd w:val="thinDiagCross" w:color="D9D9D9" w:themeColor="background1" w:themeShade="D9" w:fill="FFFFFF" w:themeFill="background1"/>
            <w:vAlign w:val="center"/>
            <w:hideMark/>
          </w:tcPr>
          <w:p w14:paraId="2E9C8826" w14:textId="77777777" w:rsidR="00317A4A" w:rsidRPr="00C85ED3" w:rsidRDefault="00317A4A" w:rsidP="00C85ED3">
            <w:pPr>
              <w:spacing w:line="192" w:lineRule="auto"/>
              <w:ind w:left="-58"/>
              <w:jc w:val="center"/>
              <w:rPr>
                <w:b/>
                <w:bCs/>
                <w:color w:val="000000" w:themeColor="text1"/>
                <w:sz w:val="24"/>
                <w:szCs w:val="24"/>
                <w:rtl/>
              </w:rPr>
            </w:pPr>
            <w:r w:rsidRPr="00C85ED3">
              <w:rPr>
                <w:b/>
                <w:bCs/>
                <w:color w:val="000000" w:themeColor="text1"/>
                <w:sz w:val="24"/>
                <w:szCs w:val="24"/>
                <w:rtl/>
              </w:rPr>
              <w:t>قيمة t</w:t>
            </w:r>
          </w:p>
        </w:tc>
        <w:tc>
          <w:tcPr>
            <w:tcW w:w="537" w:type="pct"/>
            <w:shd w:val="thinDiagCross" w:color="D9D9D9" w:themeColor="background1" w:themeShade="D9" w:fill="FFFFFF" w:themeFill="background1"/>
            <w:vAlign w:val="center"/>
            <w:hideMark/>
          </w:tcPr>
          <w:p w14:paraId="461FEAA7" w14:textId="77777777" w:rsidR="00317A4A" w:rsidRPr="00C85ED3" w:rsidRDefault="00317A4A" w:rsidP="00C85ED3">
            <w:pPr>
              <w:spacing w:line="192" w:lineRule="auto"/>
              <w:ind w:left="-58"/>
              <w:jc w:val="center"/>
              <w:rPr>
                <w:b/>
                <w:bCs/>
                <w:color w:val="000000" w:themeColor="text1"/>
                <w:sz w:val="20"/>
                <w:szCs w:val="20"/>
                <w:rtl/>
              </w:rPr>
            </w:pPr>
            <w:r w:rsidRPr="00C85ED3">
              <w:rPr>
                <w:b/>
                <w:bCs/>
                <w:color w:val="000000" w:themeColor="text1"/>
                <w:sz w:val="20"/>
                <w:szCs w:val="20"/>
                <w:rtl/>
              </w:rPr>
              <w:t xml:space="preserve">مستوى الدلالة </w:t>
            </w:r>
            <w:proofErr w:type="spellStart"/>
            <w:r w:rsidRPr="00C85ED3">
              <w:rPr>
                <w:b/>
                <w:bCs/>
                <w:color w:val="000000" w:themeColor="text1"/>
                <w:sz w:val="20"/>
                <w:szCs w:val="20"/>
                <w:rtl/>
              </w:rPr>
              <w:t>Sig</w:t>
            </w:r>
            <w:proofErr w:type="spellEnd"/>
            <w:r w:rsidRPr="00C85ED3">
              <w:rPr>
                <w:b/>
                <w:bCs/>
                <w:color w:val="000000" w:themeColor="text1"/>
                <w:sz w:val="20"/>
                <w:szCs w:val="20"/>
                <w:rtl/>
              </w:rPr>
              <w:t>.</w:t>
            </w:r>
          </w:p>
        </w:tc>
      </w:tr>
      <w:tr w:rsidR="009C4D0A" w:rsidRPr="00C85ED3" w14:paraId="41877F74" w14:textId="77777777" w:rsidTr="00C85ED3">
        <w:trPr>
          <w:trHeight w:val="20"/>
          <w:jc w:val="center"/>
        </w:trPr>
        <w:tc>
          <w:tcPr>
            <w:tcW w:w="2851" w:type="pct"/>
          </w:tcPr>
          <w:p w14:paraId="4BE5078B" w14:textId="77777777" w:rsidR="00317A4A" w:rsidRPr="00C85ED3" w:rsidRDefault="00317A4A" w:rsidP="00C85ED3">
            <w:pPr>
              <w:pStyle w:val="ListParagraph"/>
              <w:numPr>
                <w:ilvl w:val="0"/>
                <w:numId w:val="15"/>
              </w:numPr>
              <w:spacing w:line="192" w:lineRule="auto"/>
              <w:ind w:left="357" w:hanging="357"/>
              <w:contextualSpacing w:val="0"/>
              <w:jc w:val="lowKashida"/>
              <w:rPr>
                <w:color w:val="000000" w:themeColor="text1"/>
                <w:sz w:val="24"/>
                <w:szCs w:val="24"/>
                <w:lang w:bidi="ar-EG"/>
              </w:rPr>
            </w:pPr>
            <w:r w:rsidRPr="00C85ED3">
              <w:rPr>
                <w:color w:val="000000" w:themeColor="text1"/>
                <w:sz w:val="24"/>
                <w:szCs w:val="24"/>
                <w:rtl/>
              </w:rPr>
              <w:t xml:space="preserve">يعطى الإفصاح المحاسبي عن الجزء الفعال من المكاسب ‏والخسائر على أدوات التغطية المستخدمة في تحوطات ‏التدفقات النقدية </w:t>
            </w:r>
            <w:r w:rsidRPr="00C85ED3">
              <w:rPr>
                <w:rFonts w:hint="cs"/>
                <w:color w:val="000000" w:themeColor="text1"/>
                <w:sz w:val="24"/>
                <w:szCs w:val="24"/>
                <w:rtl/>
              </w:rPr>
              <w:t>انطباع</w:t>
            </w:r>
            <w:r w:rsidRPr="00C85ED3">
              <w:rPr>
                <w:color w:val="000000" w:themeColor="text1"/>
                <w:sz w:val="24"/>
                <w:szCs w:val="24"/>
                <w:rtl/>
              </w:rPr>
              <w:t>اً عن أداء المنشأة تجاه إدارة ‏المخاطر مما يسهم في تخفيض التقلبات المستقبلية.‏</w:t>
            </w:r>
          </w:p>
        </w:tc>
        <w:tc>
          <w:tcPr>
            <w:tcW w:w="389" w:type="pct"/>
            <w:shd w:val="clear" w:color="auto" w:fill="auto"/>
            <w:vAlign w:val="center"/>
          </w:tcPr>
          <w:p w14:paraId="2C5F4D7E"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4.1</w:t>
            </w:r>
          </w:p>
        </w:tc>
        <w:tc>
          <w:tcPr>
            <w:tcW w:w="444" w:type="pct"/>
            <w:shd w:val="clear" w:color="auto" w:fill="auto"/>
            <w:vAlign w:val="center"/>
          </w:tcPr>
          <w:p w14:paraId="5F2CA720"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0.72</w:t>
            </w:r>
          </w:p>
        </w:tc>
        <w:tc>
          <w:tcPr>
            <w:tcW w:w="384" w:type="pct"/>
            <w:shd w:val="clear" w:color="auto" w:fill="auto"/>
            <w:vAlign w:val="center"/>
          </w:tcPr>
          <w:p w14:paraId="4F1453FC" w14:textId="77777777" w:rsidR="00317A4A" w:rsidRPr="00C85ED3" w:rsidRDefault="00317A4A" w:rsidP="00C85ED3">
            <w:pPr>
              <w:spacing w:line="192" w:lineRule="auto"/>
              <w:jc w:val="center"/>
              <w:rPr>
                <w:color w:val="000000" w:themeColor="text1"/>
                <w:sz w:val="24"/>
                <w:szCs w:val="24"/>
                <w:rtl/>
              </w:rPr>
            </w:pPr>
            <w:r w:rsidRPr="00C85ED3">
              <w:rPr>
                <w:color w:val="000000" w:themeColor="text1"/>
                <w:sz w:val="24"/>
                <w:szCs w:val="24"/>
                <w:rtl/>
              </w:rPr>
              <w:t>الموافقة</w:t>
            </w:r>
          </w:p>
        </w:tc>
        <w:tc>
          <w:tcPr>
            <w:tcW w:w="394" w:type="pct"/>
            <w:shd w:val="clear" w:color="auto" w:fill="auto"/>
            <w:vAlign w:val="center"/>
          </w:tcPr>
          <w:p w14:paraId="59E6D0D3"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10.58</w:t>
            </w:r>
          </w:p>
        </w:tc>
        <w:tc>
          <w:tcPr>
            <w:tcW w:w="537" w:type="pct"/>
            <w:shd w:val="clear" w:color="auto" w:fill="auto"/>
            <w:vAlign w:val="center"/>
          </w:tcPr>
          <w:p w14:paraId="06E6062C"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0</w:t>
            </w:r>
          </w:p>
        </w:tc>
      </w:tr>
      <w:tr w:rsidR="009C4D0A" w:rsidRPr="00C85ED3" w14:paraId="1E6E97F0" w14:textId="77777777" w:rsidTr="00C85ED3">
        <w:trPr>
          <w:trHeight w:val="20"/>
          <w:jc w:val="center"/>
        </w:trPr>
        <w:tc>
          <w:tcPr>
            <w:tcW w:w="2851" w:type="pct"/>
          </w:tcPr>
          <w:p w14:paraId="06316B32" w14:textId="77777777" w:rsidR="00317A4A" w:rsidRPr="00C85ED3" w:rsidRDefault="00317A4A" w:rsidP="00C85ED3">
            <w:pPr>
              <w:pStyle w:val="ListParagraph"/>
              <w:numPr>
                <w:ilvl w:val="0"/>
                <w:numId w:val="15"/>
              </w:numPr>
              <w:spacing w:line="192" w:lineRule="auto"/>
              <w:ind w:left="357" w:hanging="357"/>
              <w:contextualSpacing w:val="0"/>
              <w:jc w:val="lowKashida"/>
              <w:rPr>
                <w:color w:val="000000" w:themeColor="text1"/>
                <w:sz w:val="24"/>
                <w:szCs w:val="24"/>
                <w:rtl/>
                <w:lang w:bidi="ar-EG"/>
              </w:rPr>
            </w:pPr>
            <w:r w:rsidRPr="00C85ED3">
              <w:rPr>
                <w:color w:val="000000" w:themeColor="text1"/>
                <w:sz w:val="24"/>
                <w:szCs w:val="24"/>
                <w:rtl/>
              </w:rPr>
              <w:t xml:space="preserve">يساعد الإفصاح عن الجزء الفعال من المكاسب والخسائر ‏على أدوات التغطية المستخدمة في تحوطات التدفقات ‏النقدية </w:t>
            </w:r>
            <w:proofErr w:type="spellStart"/>
            <w:r w:rsidRPr="00C85ED3">
              <w:rPr>
                <w:color w:val="000000" w:themeColor="text1"/>
                <w:sz w:val="24"/>
                <w:szCs w:val="24"/>
                <w:rtl/>
              </w:rPr>
              <w:t>مستخدمى</w:t>
            </w:r>
            <w:proofErr w:type="spellEnd"/>
            <w:r w:rsidRPr="00C85ED3">
              <w:rPr>
                <w:color w:val="000000" w:themeColor="text1"/>
                <w:sz w:val="24"/>
                <w:szCs w:val="24"/>
                <w:rtl/>
              </w:rPr>
              <w:t xml:space="preserve"> القوائم المالية في تقييم المخاطر المتعلقة ‏بالمنشأة.‏</w:t>
            </w:r>
          </w:p>
        </w:tc>
        <w:tc>
          <w:tcPr>
            <w:tcW w:w="389" w:type="pct"/>
            <w:shd w:val="clear" w:color="auto" w:fill="auto"/>
            <w:vAlign w:val="center"/>
          </w:tcPr>
          <w:p w14:paraId="30EA1FC7"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4.2</w:t>
            </w:r>
          </w:p>
        </w:tc>
        <w:tc>
          <w:tcPr>
            <w:tcW w:w="444" w:type="pct"/>
            <w:shd w:val="clear" w:color="auto" w:fill="auto"/>
            <w:vAlign w:val="center"/>
          </w:tcPr>
          <w:p w14:paraId="20D1DB21"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0.66</w:t>
            </w:r>
          </w:p>
        </w:tc>
        <w:tc>
          <w:tcPr>
            <w:tcW w:w="384" w:type="pct"/>
            <w:shd w:val="clear" w:color="auto" w:fill="auto"/>
            <w:vAlign w:val="center"/>
          </w:tcPr>
          <w:p w14:paraId="2DD03F8E" w14:textId="77777777" w:rsidR="00317A4A" w:rsidRPr="00C85ED3" w:rsidRDefault="00317A4A" w:rsidP="00C85ED3">
            <w:pPr>
              <w:spacing w:line="192" w:lineRule="auto"/>
              <w:jc w:val="center"/>
              <w:rPr>
                <w:color w:val="000000" w:themeColor="text1"/>
                <w:sz w:val="24"/>
                <w:szCs w:val="24"/>
                <w:rtl/>
              </w:rPr>
            </w:pPr>
            <w:r w:rsidRPr="00C85ED3">
              <w:rPr>
                <w:color w:val="000000" w:themeColor="text1"/>
                <w:sz w:val="24"/>
                <w:szCs w:val="24"/>
                <w:rtl/>
              </w:rPr>
              <w:t xml:space="preserve">الموافقة </w:t>
            </w:r>
            <w:r w:rsidRPr="00C85ED3">
              <w:rPr>
                <w:rFonts w:hint="cs"/>
                <w:color w:val="000000" w:themeColor="text1"/>
                <w:sz w:val="24"/>
                <w:szCs w:val="24"/>
                <w:rtl/>
              </w:rPr>
              <w:t>تماما</w:t>
            </w:r>
          </w:p>
        </w:tc>
        <w:tc>
          <w:tcPr>
            <w:tcW w:w="394" w:type="pct"/>
            <w:shd w:val="clear" w:color="auto" w:fill="auto"/>
            <w:vAlign w:val="center"/>
          </w:tcPr>
          <w:p w14:paraId="2922F7C4"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13</w:t>
            </w:r>
          </w:p>
        </w:tc>
        <w:tc>
          <w:tcPr>
            <w:tcW w:w="537" w:type="pct"/>
            <w:shd w:val="clear" w:color="auto" w:fill="auto"/>
            <w:vAlign w:val="center"/>
          </w:tcPr>
          <w:p w14:paraId="3D87D120"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0</w:t>
            </w:r>
          </w:p>
        </w:tc>
      </w:tr>
      <w:tr w:rsidR="009C4D0A" w:rsidRPr="00C85ED3" w14:paraId="2A2D398E" w14:textId="77777777" w:rsidTr="00C85ED3">
        <w:trPr>
          <w:trHeight w:val="20"/>
          <w:jc w:val="center"/>
        </w:trPr>
        <w:tc>
          <w:tcPr>
            <w:tcW w:w="2851" w:type="pct"/>
          </w:tcPr>
          <w:p w14:paraId="13C78777" w14:textId="77777777" w:rsidR="00317A4A" w:rsidRPr="00C85ED3" w:rsidRDefault="00317A4A" w:rsidP="00C85ED3">
            <w:pPr>
              <w:pStyle w:val="ListParagraph"/>
              <w:numPr>
                <w:ilvl w:val="0"/>
                <w:numId w:val="15"/>
              </w:numPr>
              <w:spacing w:line="192" w:lineRule="auto"/>
              <w:ind w:left="357" w:hanging="357"/>
              <w:contextualSpacing w:val="0"/>
              <w:jc w:val="lowKashida"/>
              <w:rPr>
                <w:color w:val="000000" w:themeColor="text1"/>
                <w:sz w:val="24"/>
                <w:szCs w:val="24"/>
                <w:rtl/>
                <w:lang w:bidi="ar-EG"/>
              </w:rPr>
            </w:pPr>
            <w:r w:rsidRPr="00C85ED3">
              <w:rPr>
                <w:color w:val="000000" w:themeColor="text1"/>
                <w:sz w:val="24"/>
                <w:szCs w:val="24"/>
                <w:rtl/>
              </w:rPr>
              <w:t>يساعد الإفصاح عن الجزء الفعال من المكاسب والخسائر ‏على أدوات التغطية المستخدمة في تحوطات التدفقات ‏النقدية في سرعة اكتشاف الازمات المالية التي يمكن أن ‏تتعرض لها المنشأة.‏</w:t>
            </w:r>
          </w:p>
        </w:tc>
        <w:tc>
          <w:tcPr>
            <w:tcW w:w="389" w:type="pct"/>
            <w:shd w:val="clear" w:color="auto" w:fill="auto"/>
            <w:vAlign w:val="center"/>
          </w:tcPr>
          <w:p w14:paraId="68A49953"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4.1</w:t>
            </w:r>
          </w:p>
        </w:tc>
        <w:tc>
          <w:tcPr>
            <w:tcW w:w="444" w:type="pct"/>
            <w:shd w:val="clear" w:color="auto" w:fill="auto"/>
            <w:vAlign w:val="center"/>
          </w:tcPr>
          <w:p w14:paraId="0D9AEEBB"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0.78</w:t>
            </w:r>
          </w:p>
        </w:tc>
        <w:tc>
          <w:tcPr>
            <w:tcW w:w="384" w:type="pct"/>
            <w:shd w:val="clear" w:color="auto" w:fill="auto"/>
            <w:vAlign w:val="center"/>
          </w:tcPr>
          <w:p w14:paraId="0BC52CCA" w14:textId="77777777" w:rsidR="00317A4A" w:rsidRPr="00C85ED3" w:rsidRDefault="00317A4A" w:rsidP="00C85ED3">
            <w:pPr>
              <w:spacing w:line="192" w:lineRule="auto"/>
              <w:jc w:val="center"/>
              <w:rPr>
                <w:color w:val="000000" w:themeColor="text1"/>
                <w:sz w:val="24"/>
                <w:szCs w:val="24"/>
                <w:rtl/>
              </w:rPr>
            </w:pPr>
            <w:r w:rsidRPr="00C85ED3">
              <w:rPr>
                <w:color w:val="000000" w:themeColor="text1"/>
                <w:sz w:val="24"/>
                <w:szCs w:val="24"/>
                <w:rtl/>
              </w:rPr>
              <w:t>الموافقة</w:t>
            </w:r>
          </w:p>
        </w:tc>
        <w:tc>
          <w:tcPr>
            <w:tcW w:w="394" w:type="pct"/>
            <w:shd w:val="clear" w:color="auto" w:fill="auto"/>
            <w:vAlign w:val="center"/>
          </w:tcPr>
          <w:p w14:paraId="26540558"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10.07</w:t>
            </w:r>
          </w:p>
        </w:tc>
        <w:tc>
          <w:tcPr>
            <w:tcW w:w="537" w:type="pct"/>
            <w:shd w:val="clear" w:color="auto" w:fill="auto"/>
            <w:vAlign w:val="center"/>
          </w:tcPr>
          <w:p w14:paraId="005DD125"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0</w:t>
            </w:r>
          </w:p>
        </w:tc>
      </w:tr>
      <w:tr w:rsidR="009C4D0A" w:rsidRPr="00C85ED3" w14:paraId="02896ABB" w14:textId="77777777" w:rsidTr="00C85ED3">
        <w:trPr>
          <w:trHeight w:val="20"/>
          <w:jc w:val="center"/>
        </w:trPr>
        <w:tc>
          <w:tcPr>
            <w:tcW w:w="2851" w:type="pct"/>
          </w:tcPr>
          <w:p w14:paraId="2405D082" w14:textId="77777777" w:rsidR="00317A4A" w:rsidRPr="00C85ED3" w:rsidRDefault="00317A4A" w:rsidP="00C85ED3">
            <w:pPr>
              <w:pStyle w:val="ListParagraph"/>
              <w:numPr>
                <w:ilvl w:val="0"/>
                <w:numId w:val="15"/>
              </w:numPr>
              <w:spacing w:line="192" w:lineRule="auto"/>
              <w:ind w:left="357" w:hanging="357"/>
              <w:contextualSpacing w:val="0"/>
              <w:jc w:val="lowKashida"/>
              <w:rPr>
                <w:color w:val="000000" w:themeColor="text1"/>
                <w:sz w:val="24"/>
                <w:szCs w:val="24"/>
                <w:rtl/>
                <w:lang w:bidi="ar-EG"/>
              </w:rPr>
            </w:pPr>
            <w:r w:rsidRPr="00C85ED3">
              <w:rPr>
                <w:color w:val="000000" w:themeColor="text1"/>
                <w:sz w:val="24"/>
                <w:szCs w:val="24"/>
                <w:rtl/>
              </w:rPr>
              <w:t>يساعد الإفصاح عن الجزء الفعال من المكاسب والخسائر ‏على أدوات التغطية المستخدمة في تحوطات التدفقات ‏النقدية على زيادة حجم التداول وسيولة الأسهم.‏</w:t>
            </w:r>
          </w:p>
        </w:tc>
        <w:tc>
          <w:tcPr>
            <w:tcW w:w="389" w:type="pct"/>
            <w:shd w:val="clear" w:color="auto" w:fill="auto"/>
            <w:vAlign w:val="center"/>
          </w:tcPr>
          <w:p w14:paraId="0E1CDDE0"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4</w:t>
            </w:r>
          </w:p>
        </w:tc>
        <w:tc>
          <w:tcPr>
            <w:tcW w:w="444" w:type="pct"/>
            <w:shd w:val="clear" w:color="auto" w:fill="auto"/>
            <w:vAlign w:val="center"/>
          </w:tcPr>
          <w:p w14:paraId="04789B44"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0.82</w:t>
            </w:r>
          </w:p>
        </w:tc>
        <w:tc>
          <w:tcPr>
            <w:tcW w:w="384" w:type="pct"/>
            <w:shd w:val="clear" w:color="auto" w:fill="auto"/>
            <w:vAlign w:val="center"/>
          </w:tcPr>
          <w:p w14:paraId="21E93EB8" w14:textId="77777777" w:rsidR="00317A4A" w:rsidRPr="00C85ED3" w:rsidRDefault="00317A4A" w:rsidP="00C85ED3">
            <w:pPr>
              <w:spacing w:line="192" w:lineRule="auto"/>
              <w:jc w:val="center"/>
              <w:rPr>
                <w:color w:val="000000" w:themeColor="text1"/>
                <w:sz w:val="24"/>
                <w:szCs w:val="24"/>
                <w:rtl/>
              </w:rPr>
            </w:pPr>
            <w:r w:rsidRPr="00C85ED3">
              <w:rPr>
                <w:color w:val="000000" w:themeColor="text1"/>
                <w:sz w:val="24"/>
                <w:szCs w:val="24"/>
                <w:rtl/>
              </w:rPr>
              <w:t>الموافقة</w:t>
            </w:r>
          </w:p>
        </w:tc>
        <w:tc>
          <w:tcPr>
            <w:tcW w:w="394" w:type="pct"/>
            <w:shd w:val="clear" w:color="auto" w:fill="auto"/>
            <w:vAlign w:val="center"/>
          </w:tcPr>
          <w:p w14:paraId="0C17E978"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7.6</w:t>
            </w:r>
          </w:p>
        </w:tc>
        <w:tc>
          <w:tcPr>
            <w:tcW w:w="537" w:type="pct"/>
            <w:shd w:val="clear" w:color="auto" w:fill="auto"/>
            <w:vAlign w:val="center"/>
          </w:tcPr>
          <w:p w14:paraId="0C646528"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0</w:t>
            </w:r>
          </w:p>
        </w:tc>
      </w:tr>
      <w:tr w:rsidR="009C4D0A" w:rsidRPr="00C85ED3" w14:paraId="74949B4C" w14:textId="77777777" w:rsidTr="00C85ED3">
        <w:trPr>
          <w:trHeight w:val="20"/>
          <w:jc w:val="center"/>
        </w:trPr>
        <w:tc>
          <w:tcPr>
            <w:tcW w:w="2851" w:type="pct"/>
            <w:shd w:val="clear" w:color="auto" w:fill="D9D9D9" w:themeFill="background1" w:themeFillShade="D9"/>
          </w:tcPr>
          <w:p w14:paraId="6CD02813" w14:textId="35D3E771" w:rsidR="00317A4A" w:rsidRPr="00C85ED3" w:rsidRDefault="00317A4A" w:rsidP="00C85ED3">
            <w:pPr>
              <w:pStyle w:val="NoSpacing"/>
              <w:spacing w:line="192" w:lineRule="auto"/>
              <w:jc w:val="center"/>
              <w:rPr>
                <w:rFonts w:ascii="Times New Roman" w:hAnsi="Times New Roman" w:cs="Simplified Arabic"/>
                <w:color w:val="000000" w:themeColor="text1"/>
                <w:sz w:val="24"/>
                <w:szCs w:val="24"/>
                <w:rtl/>
                <w:lang w:bidi="ar-EG"/>
              </w:rPr>
            </w:pPr>
            <w:r w:rsidRPr="00C85ED3">
              <w:rPr>
                <w:rFonts w:ascii="Times New Roman" w:hAnsi="Times New Roman" w:cs="Simplified Arabic"/>
                <w:color w:val="000000" w:themeColor="text1"/>
                <w:sz w:val="24"/>
                <w:szCs w:val="24"/>
                <w:rtl/>
                <w:lang w:bidi="ar-EG"/>
              </w:rPr>
              <w:t>الإجمالي</w:t>
            </w:r>
          </w:p>
        </w:tc>
        <w:tc>
          <w:tcPr>
            <w:tcW w:w="389" w:type="pct"/>
            <w:shd w:val="clear" w:color="auto" w:fill="D9D9D9" w:themeFill="background1" w:themeFillShade="D9"/>
            <w:vAlign w:val="center"/>
          </w:tcPr>
          <w:p w14:paraId="089E5E30"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4.1</w:t>
            </w:r>
          </w:p>
        </w:tc>
        <w:tc>
          <w:tcPr>
            <w:tcW w:w="444" w:type="pct"/>
            <w:shd w:val="clear" w:color="auto" w:fill="D9D9D9" w:themeFill="background1" w:themeFillShade="D9"/>
            <w:vAlign w:val="center"/>
          </w:tcPr>
          <w:p w14:paraId="3E90169A"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0.75</w:t>
            </w:r>
          </w:p>
        </w:tc>
        <w:tc>
          <w:tcPr>
            <w:tcW w:w="384" w:type="pct"/>
            <w:shd w:val="clear" w:color="auto" w:fill="D9D9D9" w:themeFill="background1" w:themeFillShade="D9"/>
            <w:vAlign w:val="center"/>
          </w:tcPr>
          <w:p w14:paraId="38BFF081" w14:textId="77777777" w:rsidR="00317A4A" w:rsidRPr="00C85ED3" w:rsidRDefault="00317A4A" w:rsidP="00C85ED3">
            <w:pPr>
              <w:spacing w:line="192" w:lineRule="auto"/>
              <w:jc w:val="center"/>
              <w:rPr>
                <w:b/>
                <w:bCs/>
                <w:color w:val="000000" w:themeColor="text1"/>
                <w:sz w:val="24"/>
                <w:szCs w:val="24"/>
                <w:rtl/>
              </w:rPr>
            </w:pPr>
          </w:p>
        </w:tc>
        <w:tc>
          <w:tcPr>
            <w:tcW w:w="394" w:type="pct"/>
            <w:shd w:val="clear" w:color="auto" w:fill="D9D9D9" w:themeFill="background1" w:themeFillShade="D9"/>
            <w:vAlign w:val="center"/>
          </w:tcPr>
          <w:p w14:paraId="367A678B" w14:textId="77777777" w:rsidR="00317A4A" w:rsidRPr="00C85ED3" w:rsidRDefault="00317A4A" w:rsidP="00C85ED3">
            <w:pPr>
              <w:bidi w:val="0"/>
              <w:spacing w:line="192" w:lineRule="auto"/>
              <w:jc w:val="center"/>
              <w:rPr>
                <w:b/>
                <w:bCs/>
                <w:color w:val="000000" w:themeColor="text1"/>
                <w:sz w:val="24"/>
                <w:szCs w:val="24"/>
                <w:rtl/>
              </w:rPr>
            </w:pPr>
          </w:p>
        </w:tc>
        <w:tc>
          <w:tcPr>
            <w:tcW w:w="537" w:type="pct"/>
            <w:shd w:val="clear" w:color="auto" w:fill="D9D9D9" w:themeFill="background1" w:themeFillShade="D9"/>
            <w:vAlign w:val="center"/>
          </w:tcPr>
          <w:p w14:paraId="10E321CE" w14:textId="77777777" w:rsidR="00317A4A" w:rsidRPr="00C85ED3" w:rsidRDefault="00317A4A" w:rsidP="00C85ED3">
            <w:pPr>
              <w:bidi w:val="0"/>
              <w:spacing w:line="192" w:lineRule="auto"/>
              <w:jc w:val="center"/>
              <w:rPr>
                <w:b/>
                <w:bCs/>
                <w:color w:val="000000" w:themeColor="text1"/>
                <w:sz w:val="24"/>
                <w:szCs w:val="24"/>
                <w:rtl/>
              </w:rPr>
            </w:pPr>
          </w:p>
        </w:tc>
      </w:tr>
    </w:tbl>
    <w:p w14:paraId="7C41A581" w14:textId="55E8EB04" w:rsidR="00C65B31" w:rsidRPr="00E24FBE" w:rsidRDefault="00317A4A" w:rsidP="00C85ED3">
      <w:pPr>
        <w:spacing w:line="192" w:lineRule="auto"/>
        <w:ind w:firstLine="720"/>
        <w:jc w:val="lowKashida"/>
        <w:rPr>
          <w:color w:val="000000" w:themeColor="text1"/>
          <w:sz w:val="26"/>
          <w:szCs w:val="26"/>
          <w:rtl/>
        </w:rPr>
      </w:pPr>
      <w:r w:rsidRPr="00E24FBE">
        <w:rPr>
          <w:color w:val="000000" w:themeColor="text1"/>
          <w:sz w:val="26"/>
          <w:szCs w:val="26"/>
          <w:rtl/>
        </w:rPr>
        <w:t xml:space="preserve">يتضح من الجدول السابق أن مستوى الدلالة أقل من 0.05 مما يعني وجود دلالة معنوية أي أنه تمت الموافقة </w:t>
      </w:r>
      <w:r w:rsidRPr="00E24FBE">
        <w:rPr>
          <w:rFonts w:hint="cs"/>
          <w:color w:val="000000" w:themeColor="text1"/>
          <w:sz w:val="26"/>
          <w:szCs w:val="26"/>
          <w:rtl/>
        </w:rPr>
        <w:t xml:space="preserve">والموافقة تماما </w:t>
      </w:r>
      <w:r w:rsidR="00546853" w:rsidRPr="00E24FBE">
        <w:rPr>
          <w:rFonts w:hint="cs"/>
          <w:color w:val="000000" w:themeColor="text1"/>
          <w:sz w:val="26"/>
          <w:szCs w:val="26"/>
          <w:rtl/>
        </w:rPr>
        <w:t>على جميع عبارات</w:t>
      </w:r>
      <w:r w:rsidRPr="00E24FBE">
        <w:rPr>
          <w:rFonts w:hint="cs"/>
          <w:color w:val="000000" w:themeColor="text1"/>
          <w:sz w:val="26"/>
          <w:szCs w:val="26"/>
          <w:rtl/>
        </w:rPr>
        <w:t xml:space="preserve"> الفرض </w:t>
      </w:r>
      <w:proofErr w:type="spellStart"/>
      <w:r w:rsidRPr="00E24FBE">
        <w:rPr>
          <w:rFonts w:hint="cs"/>
          <w:color w:val="000000" w:themeColor="text1"/>
          <w:sz w:val="26"/>
          <w:szCs w:val="26"/>
          <w:rtl/>
        </w:rPr>
        <w:t>الفرعى</w:t>
      </w:r>
      <w:proofErr w:type="spellEnd"/>
      <w:r w:rsidRPr="00E24FBE">
        <w:rPr>
          <w:rFonts w:hint="cs"/>
          <w:color w:val="000000" w:themeColor="text1"/>
          <w:sz w:val="26"/>
          <w:szCs w:val="26"/>
          <w:rtl/>
        </w:rPr>
        <w:t xml:space="preserve"> </w:t>
      </w:r>
      <w:proofErr w:type="spellStart"/>
      <w:r w:rsidRPr="00E24FBE">
        <w:rPr>
          <w:rFonts w:hint="cs"/>
          <w:color w:val="000000" w:themeColor="text1"/>
          <w:sz w:val="26"/>
          <w:szCs w:val="26"/>
          <w:rtl/>
        </w:rPr>
        <w:t>الثانى</w:t>
      </w:r>
      <w:proofErr w:type="spellEnd"/>
      <w:r w:rsidRPr="00E24FBE">
        <w:rPr>
          <w:rFonts w:hint="cs"/>
          <w:color w:val="000000" w:themeColor="text1"/>
          <w:sz w:val="26"/>
          <w:szCs w:val="26"/>
          <w:rtl/>
        </w:rPr>
        <w:t>.</w:t>
      </w:r>
    </w:p>
    <w:p w14:paraId="7A7ED649" w14:textId="56C68B5F" w:rsidR="00317A4A" w:rsidRPr="00826CE4" w:rsidRDefault="00317A4A" w:rsidP="00C85ED3">
      <w:pPr>
        <w:spacing w:line="192" w:lineRule="auto"/>
        <w:jc w:val="center"/>
        <w:rPr>
          <w:rFonts w:eastAsiaTheme="minorEastAsia"/>
          <w:b/>
          <w:bCs/>
          <w:color w:val="000000" w:themeColor="text1"/>
          <w:sz w:val="26"/>
          <w:szCs w:val="26"/>
          <w:rtl/>
        </w:rPr>
      </w:pPr>
      <w:r w:rsidRPr="00B07A66">
        <w:rPr>
          <w:rFonts w:eastAsiaTheme="minorEastAsia"/>
          <w:b/>
          <w:bCs/>
          <w:color w:val="000000" w:themeColor="text1"/>
          <w:sz w:val="26"/>
          <w:szCs w:val="26"/>
          <w:rtl/>
        </w:rPr>
        <w:t xml:space="preserve">جدول </w:t>
      </w:r>
      <w:r w:rsidRPr="00B07A66">
        <w:rPr>
          <w:rFonts w:eastAsiaTheme="minorEastAsia" w:hint="cs"/>
          <w:b/>
          <w:bCs/>
          <w:color w:val="000000" w:themeColor="text1"/>
          <w:sz w:val="26"/>
          <w:szCs w:val="26"/>
          <w:rtl/>
        </w:rPr>
        <w:t xml:space="preserve">رقم </w:t>
      </w:r>
      <w:r w:rsidRPr="00B07A66">
        <w:rPr>
          <w:rFonts w:eastAsiaTheme="minorEastAsia"/>
          <w:b/>
          <w:bCs/>
          <w:color w:val="000000" w:themeColor="text1"/>
          <w:sz w:val="26"/>
          <w:szCs w:val="26"/>
          <w:rtl/>
        </w:rPr>
        <w:t>(</w:t>
      </w:r>
      <w:r w:rsidRPr="00B07A66">
        <w:rPr>
          <w:rFonts w:eastAsiaTheme="minorEastAsia" w:hint="cs"/>
          <w:b/>
          <w:bCs/>
          <w:color w:val="000000" w:themeColor="text1"/>
          <w:sz w:val="26"/>
          <w:szCs w:val="26"/>
          <w:rtl/>
        </w:rPr>
        <w:t xml:space="preserve">17) </w:t>
      </w:r>
      <w:r w:rsidRPr="00B07A66">
        <w:rPr>
          <w:rFonts w:eastAsiaTheme="minorEastAsia"/>
          <w:b/>
          <w:bCs/>
          <w:color w:val="000000" w:themeColor="text1"/>
          <w:sz w:val="26"/>
          <w:szCs w:val="26"/>
          <w:rtl/>
        </w:rPr>
        <w:t>الاحصاء الوصفي لنتائج آراء العينة</w:t>
      </w:r>
      <w:r w:rsidRPr="00B07A66">
        <w:rPr>
          <w:rFonts w:eastAsiaTheme="minorEastAsia" w:hint="cs"/>
          <w:b/>
          <w:bCs/>
          <w:color w:val="000000" w:themeColor="text1"/>
          <w:sz w:val="26"/>
          <w:szCs w:val="26"/>
          <w:rtl/>
        </w:rPr>
        <w:t xml:space="preserve"> حول العبارا</w:t>
      </w:r>
      <w:r w:rsidR="00B07A66">
        <w:rPr>
          <w:rFonts w:eastAsiaTheme="minorEastAsia" w:hint="cs"/>
          <w:b/>
          <w:bCs/>
          <w:color w:val="000000" w:themeColor="text1"/>
          <w:sz w:val="26"/>
          <w:szCs w:val="26"/>
          <w:rtl/>
        </w:rPr>
        <w:t xml:space="preserve">ت التي تحدد الفرض </w:t>
      </w:r>
      <w:proofErr w:type="spellStart"/>
      <w:r w:rsidR="00B07A66">
        <w:rPr>
          <w:rFonts w:eastAsiaTheme="minorEastAsia" w:hint="cs"/>
          <w:b/>
          <w:bCs/>
          <w:color w:val="000000" w:themeColor="text1"/>
          <w:sz w:val="26"/>
          <w:szCs w:val="26"/>
          <w:rtl/>
        </w:rPr>
        <w:t>الفرعى</w:t>
      </w:r>
      <w:proofErr w:type="spellEnd"/>
      <w:r w:rsidR="00B07A66">
        <w:rPr>
          <w:rFonts w:eastAsiaTheme="minorEastAsia" w:hint="cs"/>
          <w:b/>
          <w:bCs/>
          <w:color w:val="000000" w:themeColor="text1"/>
          <w:sz w:val="26"/>
          <w:szCs w:val="26"/>
          <w:rtl/>
        </w:rPr>
        <w:t xml:space="preserve"> الثالث</w:t>
      </w:r>
    </w:p>
    <w:tbl>
      <w:tblPr>
        <w:bidiVisual/>
        <w:tblW w:w="5475"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464"/>
        <w:gridCol w:w="692"/>
        <w:gridCol w:w="734"/>
        <w:gridCol w:w="737"/>
        <w:gridCol w:w="696"/>
        <w:gridCol w:w="1114"/>
      </w:tblGrid>
      <w:tr w:rsidR="009C4D0A" w:rsidRPr="00C85ED3" w14:paraId="1EC5880E" w14:textId="77777777" w:rsidTr="00C85ED3">
        <w:trPr>
          <w:trHeight w:val="20"/>
          <w:tblHeader/>
          <w:jc w:val="center"/>
        </w:trPr>
        <w:tc>
          <w:tcPr>
            <w:tcW w:w="2897" w:type="pct"/>
            <w:shd w:val="thinDiagCross" w:color="D9D9D9" w:themeColor="background1" w:themeShade="D9" w:fill="FFFFFF" w:themeFill="background1"/>
            <w:vAlign w:val="center"/>
            <w:hideMark/>
          </w:tcPr>
          <w:p w14:paraId="6EEF9DC9" w14:textId="149F1157" w:rsidR="00317A4A" w:rsidRPr="00C85ED3" w:rsidRDefault="00317A4A" w:rsidP="00C85ED3">
            <w:pPr>
              <w:spacing w:line="192" w:lineRule="auto"/>
              <w:ind w:left="-58"/>
              <w:jc w:val="center"/>
              <w:rPr>
                <w:b/>
                <w:bCs/>
                <w:color w:val="000000" w:themeColor="text1"/>
                <w:sz w:val="24"/>
                <w:szCs w:val="24"/>
                <w:rtl/>
                <w:lang w:bidi="ar-EG"/>
              </w:rPr>
            </w:pPr>
            <w:r w:rsidRPr="00C85ED3">
              <w:rPr>
                <w:b/>
                <w:bCs/>
                <w:color w:val="000000" w:themeColor="text1"/>
                <w:sz w:val="24"/>
                <w:szCs w:val="24"/>
                <w:rtl/>
              </w:rPr>
              <w:t>العبارات</w:t>
            </w:r>
          </w:p>
        </w:tc>
        <w:tc>
          <w:tcPr>
            <w:tcW w:w="367" w:type="pct"/>
            <w:shd w:val="thinDiagCross" w:color="D9D9D9" w:themeColor="background1" w:themeShade="D9" w:fill="FFFFFF" w:themeFill="background1"/>
            <w:vAlign w:val="center"/>
            <w:hideMark/>
          </w:tcPr>
          <w:p w14:paraId="79851E2E" w14:textId="77777777" w:rsidR="00317A4A" w:rsidRPr="00C85ED3" w:rsidRDefault="00317A4A" w:rsidP="00C85ED3">
            <w:pPr>
              <w:spacing w:line="192" w:lineRule="auto"/>
              <w:ind w:left="-58"/>
              <w:jc w:val="center"/>
              <w:rPr>
                <w:b/>
                <w:bCs/>
                <w:color w:val="000000" w:themeColor="text1"/>
                <w:sz w:val="24"/>
                <w:szCs w:val="24"/>
                <w:rtl/>
              </w:rPr>
            </w:pPr>
            <w:r w:rsidRPr="00C85ED3">
              <w:rPr>
                <w:b/>
                <w:bCs/>
                <w:color w:val="000000" w:themeColor="text1"/>
                <w:sz w:val="24"/>
                <w:szCs w:val="24"/>
                <w:rtl/>
              </w:rPr>
              <w:t>المتوسط المرجح</w:t>
            </w:r>
          </w:p>
        </w:tc>
        <w:tc>
          <w:tcPr>
            <w:tcW w:w="392" w:type="pct"/>
            <w:shd w:val="thinDiagCross" w:color="D9D9D9" w:themeColor="background1" w:themeShade="D9" w:fill="FFFFFF" w:themeFill="background1"/>
            <w:vAlign w:val="center"/>
            <w:hideMark/>
          </w:tcPr>
          <w:p w14:paraId="02E3B5CA" w14:textId="77777777" w:rsidR="00317A4A" w:rsidRPr="00C85ED3" w:rsidRDefault="00317A4A" w:rsidP="00C85ED3">
            <w:pPr>
              <w:spacing w:line="192" w:lineRule="auto"/>
              <w:ind w:left="-58"/>
              <w:jc w:val="center"/>
              <w:rPr>
                <w:b/>
                <w:bCs/>
                <w:color w:val="000000" w:themeColor="text1"/>
                <w:sz w:val="24"/>
                <w:szCs w:val="24"/>
                <w:rtl/>
              </w:rPr>
            </w:pPr>
            <w:r w:rsidRPr="00C85ED3">
              <w:rPr>
                <w:b/>
                <w:bCs/>
                <w:color w:val="000000" w:themeColor="text1"/>
                <w:sz w:val="24"/>
                <w:szCs w:val="24"/>
                <w:rtl/>
              </w:rPr>
              <w:t>الانحراف المعياري</w:t>
            </w:r>
          </w:p>
        </w:tc>
        <w:tc>
          <w:tcPr>
            <w:tcW w:w="392" w:type="pct"/>
            <w:shd w:val="thinDiagCross" w:color="D9D9D9" w:themeColor="background1" w:themeShade="D9" w:fill="FFFFFF" w:themeFill="background1"/>
            <w:vAlign w:val="center"/>
            <w:hideMark/>
          </w:tcPr>
          <w:p w14:paraId="74C1A939" w14:textId="77777777" w:rsidR="00317A4A" w:rsidRPr="00C85ED3" w:rsidRDefault="00317A4A" w:rsidP="00C85ED3">
            <w:pPr>
              <w:spacing w:line="192" w:lineRule="auto"/>
              <w:ind w:left="-58"/>
              <w:jc w:val="center"/>
              <w:rPr>
                <w:b/>
                <w:bCs/>
                <w:color w:val="000000" w:themeColor="text1"/>
                <w:sz w:val="24"/>
                <w:szCs w:val="24"/>
                <w:rtl/>
              </w:rPr>
            </w:pPr>
            <w:r w:rsidRPr="00C85ED3">
              <w:rPr>
                <w:b/>
                <w:bCs/>
                <w:color w:val="000000" w:themeColor="text1"/>
                <w:sz w:val="24"/>
                <w:szCs w:val="24"/>
                <w:rtl/>
              </w:rPr>
              <w:t>درجة الموافقة</w:t>
            </w:r>
          </w:p>
        </w:tc>
        <w:tc>
          <w:tcPr>
            <w:tcW w:w="360" w:type="pct"/>
            <w:shd w:val="thinDiagCross" w:color="D9D9D9" w:themeColor="background1" w:themeShade="D9" w:fill="FFFFFF" w:themeFill="background1"/>
            <w:vAlign w:val="center"/>
            <w:hideMark/>
          </w:tcPr>
          <w:p w14:paraId="4485DB4E" w14:textId="77777777" w:rsidR="00317A4A" w:rsidRPr="00C85ED3" w:rsidRDefault="00317A4A" w:rsidP="00C85ED3">
            <w:pPr>
              <w:spacing w:line="192" w:lineRule="auto"/>
              <w:ind w:left="-58"/>
              <w:jc w:val="center"/>
              <w:rPr>
                <w:b/>
                <w:bCs/>
                <w:color w:val="000000" w:themeColor="text1"/>
                <w:sz w:val="24"/>
                <w:szCs w:val="24"/>
                <w:rtl/>
              </w:rPr>
            </w:pPr>
            <w:r w:rsidRPr="00C85ED3">
              <w:rPr>
                <w:b/>
                <w:bCs/>
                <w:color w:val="000000" w:themeColor="text1"/>
                <w:sz w:val="24"/>
                <w:szCs w:val="24"/>
                <w:rtl/>
              </w:rPr>
              <w:t>قيمة t</w:t>
            </w:r>
          </w:p>
        </w:tc>
        <w:tc>
          <w:tcPr>
            <w:tcW w:w="593" w:type="pct"/>
            <w:shd w:val="thinDiagCross" w:color="D9D9D9" w:themeColor="background1" w:themeShade="D9" w:fill="FFFFFF" w:themeFill="background1"/>
            <w:vAlign w:val="center"/>
            <w:hideMark/>
          </w:tcPr>
          <w:p w14:paraId="5E3B29F5" w14:textId="77777777" w:rsidR="00317A4A" w:rsidRPr="00C85ED3" w:rsidRDefault="00317A4A" w:rsidP="00C85ED3">
            <w:pPr>
              <w:spacing w:line="192" w:lineRule="auto"/>
              <w:ind w:left="-58"/>
              <w:jc w:val="center"/>
              <w:rPr>
                <w:b/>
                <w:bCs/>
                <w:color w:val="000000" w:themeColor="text1"/>
                <w:sz w:val="24"/>
                <w:szCs w:val="24"/>
                <w:rtl/>
              </w:rPr>
            </w:pPr>
            <w:r w:rsidRPr="00C85ED3">
              <w:rPr>
                <w:b/>
                <w:bCs/>
                <w:color w:val="000000" w:themeColor="text1"/>
                <w:sz w:val="24"/>
                <w:szCs w:val="24"/>
                <w:rtl/>
              </w:rPr>
              <w:t xml:space="preserve">مستوى الدلالة </w:t>
            </w:r>
            <w:proofErr w:type="spellStart"/>
            <w:r w:rsidRPr="00C85ED3">
              <w:rPr>
                <w:b/>
                <w:bCs/>
                <w:color w:val="000000" w:themeColor="text1"/>
                <w:sz w:val="24"/>
                <w:szCs w:val="24"/>
                <w:rtl/>
              </w:rPr>
              <w:t>Sig</w:t>
            </w:r>
            <w:proofErr w:type="spellEnd"/>
            <w:r w:rsidRPr="00C85ED3">
              <w:rPr>
                <w:b/>
                <w:bCs/>
                <w:color w:val="000000" w:themeColor="text1"/>
                <w:sz w:val="24"/>
                <w:szCs w:val="24"/>
                <w:rtl/>
              </w:rPr>
              <w:t>.</w:t>
            </w:r>
          </w:p>
        </w:tc>
      </w:tr>
      <w:tr w:rsidR="009C4D0A" w:rsidRPr="00C85ED3" w14:paraId="1361A471" w14:textId="77777777" w:rsidTr="00C85ED3">
        <w:trPr>
          <w:trHeight w:val="20"/>
          <w:jc w:val="center"/>
        </w:trPr>
        <w:tc>
          <w:tcPr>
            <w:tcW w:w="2897" w:type="pct"/>
          </w:tcPr>
          <w:p w14:paraId="1B0131B8" w14:textId="77777777" w:rsidR="00317A4A" w:rsidRPr="00C85ED3" w:rsidRDefault="00317A4A" w:rsidP="00C85ED3">
            <w:pPr>
              <w:pStyle w:val="ListParagraph"/>
              <w:numPr>
                <w:ilvl w:val="0"/>
                <w:numId w:val="16"/>
              </w:numPr>
              <w:spacing w:line="192" w:lineRule="auto"/>
              <w:ind w:left="357" w:hanging="357"/>
              <w:contextualSpacing w:val="0"/>
              <w:jc w:val="lowKashida"/>
              <w:rPr>
                <w:color w:val="000000" w:themeColor="text1"/>
                <w:sz w:val="24"/>
                <w:szCs w:val="24"/>
                <w:rtl/>
                <w:lang w:bidi="ar-EG"/>
              </w:rPr>
            </w:pPr>
            <w:r w:rsidRPr="00C85ED3">
              <w:rPr>
                <w:color w:val="000000" w:themeColor="text1"/>
                <w:sz w:val="24"/>
                <w:szCs w:val="24"/>
                <w:rtl/>
              </w:rPr>
              <w:t>يؤثر التغير في سعر صرف العملة الأجنبية على ربحية ‏المنشأة وعلى تدفقاتها النقدية.‏</w:t>
            </w:r>
          </w:p>
        </w:tc>
        <w:tc>
          <w:tcPr>
            <w:tcW w:w="367" w:type="pct"/>
            <w:shd w:val="clear" w:color="auto" w:fill="auto"/>
            <w:vAlign w:val="center"/>
          </w:tcPr>
          <w:p w14:paraId="17DD0EE7"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4.3</w:t>
            </w:r>
          </w:p>
        </w:tc>
        <w:tc>
          <w:tcPr>
            <w:tcW w:w="392" w:type="pct"/>
            <w:shd w:val="clear" w:color="auto" w:fill="auto"/>
            <w:vAlign w:val="center"/>
          </w:tcPr>
          <w:p w14:paraId="16916A18"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0.79</w:t>
            </w:r>
          </w:p>
        </w:tc>
        <w:tc>
          <w:tcPr>
            <w:tcW w:w="392" w:type="pct"/>
            <w:shd w:val="clear" w:color="auto" w:fill="auto"/>
            <w:vAlign w:val="center"/>
          </w:tcPr>
          <w:p w14:paraId="639FDAB5" w14:textId="77777777" w:rsidR="00317A4A" w:rsidRPr="00C85ED3" w:rsidRDefault="00317A4A" w:rsidP="00C85ED3">
            <w:pPr>
              <w:spacing w:line="192" w:lineRule="auto"/>
              <w:jc w:val="center"/>
              <w:rPr>
                <w:color w:val="000000" w:themeColor="text1"/>
                <w:sz w:val="24"/>
                <w:szCs w:val="24"/>
                <w:rtl/>
              </w:rPr>
            </w:pPr>
            <w:r w:rsidRPr="00C85ED3">
              <w:rPr>
                <w:color w:val="000000" w:themeColor="text1"/>
                <w:sz w:val="24"/>
                <w:szCs w:val="24"/>
                <w:rtl/>
              </w:rPr>
              <w:t>الموافقة تماما</w:t>
            </w:r>
          </w:p>
        </w:tc>
        <w:tc>
          <w:tcPr>
            <w:tcW w:w="360" w:type="pct"/>
            <w:shd w:val="clear" w:color="auto" w:fill="auto"/>
            <w:vAlign w:val="center"/>
          </w:tcPr>
          <w:p w14:paraId="0696303E"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11.67</w:t>
            </w:r>
          </w:p>
        </w:tc>
        <w:tc>
          <w:tcPr>
            <w:tcW w:w="593" w:type="pct"/>
            <w:shd w:val="clear" w:color="auto" w:fill="auto"/>
            <w:vAlign w:val="center"/>
          </w:tcPr>
          <w:p w14:paraId="4AC56FDF" w14:textId="77777777" w:rsidR="00317A4A" w:rsidRPr="00C85ED3" w:rsidRDefault="00317A4A" w:rsidP="00C85ED3">
            <w:pPr>
              <w:bidi w:val="0"/>
              <w:spacing w:line="192" w:lineRule="auto"/>
              <w:jc w:val="center"/>
              <w:rPr>
                <w:color w:val="000000" w:themeColor="text1"/>
                <w:sz w:val="24"/>
                <w:szCs w:val="24"/>
              </w:rPr>
            </w:pPr>
            <w:r w:rsidRPr="00C85ED3">
              <w:rPr>
                <w:color w:val="000000" w:themeColor="text1"/>
                <w:sz w:val="24"/>
                <w:szCs w:val="24"/>
                <w:rtl/>
              </w:rPr>
              <w:t>0</w:t>
            </w:r>
          </w:p>
        </w:tc>
      </w:tr>
      <w:tr w:rsidR="009C4D0A" w:rsidRPr="00C85ED3" w14:paraId="29CF2F96" w14:textId="77777777" w:rsidTr="00C85ED3">
        <w:trPr>
          <w:trHeight w:val="20"/>
          <w:jc w:val="center"/>
        </w:trPr>
        <w:tc>
          <w:tcPr>
            <w:tcW w:w="2897" w:type="pct"/>
          </w:tcPr>
          <w:p w14:paraId="23EE4224" w14:textId="77777777" w:rsidR="00317A4A" w:rsidRPr="00C85ED3" w:rsidRDefault="00317A4A" w:rsidP="00C85ED3">
            <w:pPr>
              <w:pStyle w:val="ListParagraph"/>
              <w:numPr>
                <w:ilvl w:val="0"/>
                <w:numId w:val="16"/>
              </w:numPr>
              <w:spacing w:line="180" w:lineRule="auto"/>
              <w:ind w:left="357" w:hanging="357"/>
              <w:contextualSpacing w:val="0"/>
              <w:jc w:val="lowKashida"/>
              <w:rPr>
                <w:color w:val="000000" w:themeColor="text1"/>
                <w:sz w:val="24"/>
                <w:szCs w:val="24"/>
                <w:rtl/>
                <w:lang w:bidi="ar-EG"/>
              </w:rPr>
            </w:pPr>
            <w:r w:rsidRPr="00C85ED3">
              <w:rPr>
                <w:color w:val="000000" w:themeColor="text1"/>
                <w:sz w:val="24"/>
                <w:szCs w:val="24"/>
                <w:rtl/>
              </w:rPr>
              <w:t>يوفر الإفصاح عن المكاسب والخسائر الناتجة عن ترجمة ‏العملات الأجنبية معلومات ذات قيمة للمستثمرين.‏</w:t>
            </w:r>
          </w:p>
        </w:tc>
        <w:tc>
          <w:tcPr>
            <w:tcW w:w="367" w:type="pct"/>
            <w:shd w:val="clear" w:color="auto" w:fill="auto"/>
            <w:vAlign w:val="center"/>
          </w:tcPr>
          <w:p w14:paraId="066C36AC"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4.2</w:t>
            </w:r>
          </w:p>
        </w:tc>
        <w:tc>
          <w:tcPr>
            <w:tcW w:w="392" w:type="pct"/>
            <w:shd w:val="clear" w:color="auto" w:fill="auto"/>
            <w:vAlign w:val="center"/>
          </w:tcPr>
          <w:p w14:paraId="007A24ED"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0.7</w:t>
            </w:r>
          </w:p>
        </w:tc>
        <w:tc>
          <w:tcPr>
            <w:tcW w:w="392" w:type="pct"/>
            <w:shd w:val="clear" w:color="auto" w:fill="auto"/>
            <w:vAlign w:val="center"/>
          </w:tcPr>
          <w:p w14:paraId="68E753AA" w14:textId="77777777" w:rsidR="00317A4A" w:rsidRPr="00C85ED3" w:rsidRDefault="00317A4A" w:rsidP="00C85ED3">
            <w:pPr>
              <w:spacing w:line="180" w:lineRule="auto"/>
              <w:jc w:val="center"/>
              <w:rPr>
                <w:color w:val="000000" w:themeColor="text1"/>
                <w:sz w:val="24"/>
                <w:szCs w:val="24"/>
                <w:rtl/>
              </w:rPr>
            </w:pPr>
            <w:r w:rsidRPr="00C85ED3">
              <w:rPr>
                <w:color w:val="000000" w:themeColor="text1"/>
                <w:sz w:val="24"/>
                <w:szCs w:val="24"/>
                <w:rtl/>
              </w:rPr>
              <w:t xml:space="preserve">الموافقة </w:t>
            </w:r>
            <w:r w:rsidRPr="00C85ED3">
              <w:rPr>
                <w:rFonts w:hint="cs"/>
                <w:color w:val="000000" w:themeColor="text1"/>
                <w:sz w:val="24"/>
                <w:szCs w:val="24"/>
                <w:rtl/>
              </w:rPr>
              <w:t>تماما</w:t>
            </w:r>
          </w:p>
        </w:tc>
        <w:tc>
          <w:tcPr>
            <w:tcW w:w="360" w:type="pct"/>
            <w:shd w:val="clear" w:color="auto" w:fill="auto"/>
            <w:vAlign w:val="center"/>
          </w:tcPr>
          <w:p w14:paraId="0D818A1D"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12.02</w:t>
            </w:r>
          </w:p>
        </w:tc>
        <w:tc>
          <w:tcPr>
            <w:tcW w:w="593" w:type="pct"/>
            <w:shd w:val="clear" w:color="auto" w:fill="auto"/>
            <w:vAlign w:val="center"/>
          </w:tcPr>
          <w:p w14:paraId="3D9C21F3"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0</w:t>
            </w:r>
          </w:p>
        </w:tc>
      </w:tr>
      <w:tr w:rsidR="009C4D0A" w:rsidRPr="00C85ED3" w14:paraId="7DB4B6EF" w14:textId="77777777" w:rsidTr="00C85ED3">
        <w:trPr>
          <w:trHeight w:val="20"/>
          <w:jc w:val="center"/>
        </w:trPr>
        <w:tc>
          <w:tcPr>
            <w:tcW w:w="2897" w:type="pct"/>
          </w:tcPr>
          <w:p w14:paraId="0C614BD6" w14:textId="77777777" w:rsidR="00317A4A" w:rsidRPr="00C85ED3" w:rsidRDefault="00317A4A" w:rsidP="00C85ED3">
            <w:pPr>
              <w:pStyle w:val="ListParagraph"/>
              <w:numPr>
                <w:ilvl w:val="0"/>
                <w:numId w:val="16"/>
              </w:numPr>
              <w:spacing w:line="180" w:lineRule="auto"/>
              <w:ind w:left="357" w:hanging="357"/>
              <w:contextualSpacing w:val="0"/>
              <w:jc w:val="lowKashida"/>
              <w:rPr>
                <w:color w:val="000000" w:themeColor="text1"/>
                <w:sz w:val="24"/>
                <w:szCs w:val="24"/>
                <w:rtl/>
                <w:lang w:bidi="ar-EG"/>
              </w:rPr>
            </w:pPr>
            <w:r w:rsidRPr="00C85ED3">
              <w:rPr>
                <w:color w:val="000000" w:themeColor="text1"/>
                <w:sz w:val="24"/>
                <w:szCs w:val="24"/>
                <w:rtl/>
              </w:rPr>
              <w:t xml:space="preserve">يعتبر الإفصاح عن المكاسب والخسائر الناتجة عن ترجمة ‏العملات الأجنبية مؤشر للوضع </w:t>
            </w:r>
            <w:proofErr w:type="spellStart"/>
            <w:r w:rsidRPr="00C85ED3">
              <w:rPr>
                <w:color w:val="000000" w:themeColor="text1"/>
                <w:sz w:val="24"/>
                <w:szCs w:val="24"/>
                <w:rtl/>
              </w:rPr>
              <w:t>التنافسى</w:t>
            </w:r>
            <w:proofErr w:type="spellEnd"/>
            <w:r w:rsidRPr="00C85ED3">
              <w:rPr>
                <w:color w:val="000000" w:themeColor="text1"/>
                <w:sz w:val="24"/>
                <w:szCs w:val="24"/>
                <w:rtl/>
              </w:rPr>
              <w:t xml:space="preserve"> للمنشأة، فقد تحقق ‏الفروع الأجنبية أرباحاً عالية مقارنة بالمنشأة الأم، فتعزز ‏القوائم المالية الموحدة بالمكاسب غير المحققة من ترجمة ‏القوائم المالية.‏</w:t>
            </w:r>
          </w:p>
        </w:tc>
        <w:tc>
          <w:tcPr>
            <w:tcW w:w="367" w:type="pct"/>
            <w:shd w:val="clear" w:color="auto" w:fill="auto"/>
            <w:vAlign w:val="center"/>
          </w:tcPr>
          <w:p w14:paraId="0BA70904"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4.1</w:t>
            </w:r>
          </w:p>
        </w:tc>
        <w:tc>
          <w:tcPr>
            <w:tcW w:w="392" w:type="pct"/>
            <w:shd w:val="clear" w:color="auto" w:fill="auto"/>
            <w:vAlign w:val="center"/>
          </w:tcPr>
          <w:p w14:paraId="2211A1BE"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0.76</w:t>
            </w:r>
          </w:p>
        </w:tc>
        <w:tc>
          <w:tcPr>
            <w:tcW w:w="392" w:type="pct"/>
            <w:shd w:val="clear" w:color="auto" w:fill="auto"/>
            <w:vAlign w:val="center"/>
          </w:tcPr>
          <w:p w14:paraId="1976ADD9" w14:textId="77777777" w:rsidR="00317A4A" w:rsidRPr="00C85ED3" w:rsidRDefault="00317A4A" w:rsidP="00C85ED3">
            <w:pPr>
              <w:spacing w:line="180" w:lineRule="auto"/>
              <w:jc w:val="center"/>
              <w:rPr>
                <w:color w:val="000000" w:themeColor="text1"/>
                <w:sz w:val="24"/>
                <w:szCs w:val="24"/>
                <w:rtl/>
              </w:rPr>
            </w:pPr>
            <w:r w:rsidRPr="00C85ED3">
              <w:rPr>
                <w:color w:val="000000" w:themeColor="text1"/>
                <w:sz w:val="24"/>
                <w:szCs w:val="24"/>
                <w:rtl/>
              </w:rPr>
              <w:t>الموافقة</w:t>
            </w:r>
          </w:p>
        </w:tc>
        <w:tc>
          <w:tcPr>
            <w:tcW w:w="360" w:type="pct"/>
            <w:shd w:val="clear" w:color="auto" w:fill="auto"/>
            <w:vAlign w:val="center"/>
          </w:tcPr>
          <w:p w14:paraId="78F81DAB"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9.48</w:t>
            </w:r>
          </w:p>
        </w:tc>
        <w:tc>
          <w:tcPr>
            <w:tcW w:w="593" w:type="pct"/>
            <w:shd w:val="clear" w:color="auto" w:fill="auto"/>
            <w:vAlign w:val="center"/>
          </w:tcPr>
          <w:p w14:paraId="61972008"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0</w:t>
            </w:r>
          </w:p>
        </w:tc>
      </w:tr>
      <w:tr w:rsidR="009C4D0A" w:rsidRPr="00C85ED3" w14:paraId="52B1AD6E" w14:textId="77777777" w:rsidTr="00C85ED3">
        <w:trPr>
          <w:trHeight w:val="20"/>
          <w:jc w:val="center"/>
        </w:trPr>
        <w:tc>
          <w:tcPr>
            <w:tcW w:w="2897" w:type="pct"/>
          </w:tcPr>
          <w:p w14:paraId="18DADB79" w14:textId="77777777" w:rsidR="00317A4A" w:rsidRPr="00C85ED3" w:rsidRDefault="00317A4A" w:rsidP="00C85ED3">
            <w:pPr>
              <w:pStyle w:val="ListParagraph"/>
              <w:numPr>
                <w:ilvl w:val="0"/>
                <w:numId w:val="16"/>
              </w:numPr>
              <w:spacing w:line="180" w:lineRule="auto"/>
              <w:ind w:left="357" w:hanging="357"/>
              <w:contextualSpacing w:val="0"/>
              <w:jc w:val="lowKashida"/>
              <w:rPr>
                <w:color w:val="000000" w:themeColor="text1"/>
                <w:sz w:val="24"/>
                <w:szCs w:val="24"/>
                <w:rtl/>
                <w:lang w:bidi="ar-EG"/>
              </w:rPr>
            </w:pPr>
            <w:r w:rsidRPr="00C85ED3">
              <w:rPr>
                <w:color w:val="000000" w:themeColor="text1"/>
                <w:sz w:val="24"/>
                <w:szCs w:val="24"/>
                <w:rtl/>
              </w:rPr>
              <w:t>يؤدى الإفصاح عن المكاسب الناتجة من ترجمة العملات ‏الأجنبية إلى تخفيض شروط الدين للمنشآت ذات المديونية ‏المرتفعة بما يدعم قيمة المنشأة ويؤثر على سعر السهم.‏</w:t>
            </w:r>
          </w:p>
        </w:tc>
        <w:tc>
          <w:tcPr>
            <w:tcW w:w="367" w:type="pct"/>
            <w:shd w:val="clear" w:color="auto" w:fill="auto"/>
            <w:vAlign w:val="center"/>
          </w:tcPr>
          <w:p w14:paraId="1F22731F"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3.9</w:t>
            </w:r>
          </w:p>
        </w:tc>
        <w:tc>
          <w:tcPr>
            <w:tcW w:w="392" w:type="pct"/>
            <w:shd w:val="clear" w:color="auto" w:fill="auto"/>
            <w:vAlign w:val="center"/>
          </w:tcPr>
          <w:p w14:paraId="07A72EA7"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0.93</w:t>
            </w:r>
          </w:p>
        </w:tc>
        <w:tc>
          <w:tcPr>
            <w:tcW w:w="392" w:type="pct"/>
            <w:shd w:val="clear" w:color="auto" w:fill="auto"/>
            <w:vAlign w:val="center"/>
          </w:tcPr>
          <w:p w14:paraId="33B56D99" w14:textId="77777777" w:rsidR="00317A4A" w:rsidRPr="00C85ED3" w:rsidRDefault="00317A4A" w:rsidP="00C85ED3">
            <w:pPr>
              <w:spacing w:line="180" w:lineRule="auto"/>
              <w:jc w:val="center"/>
              <w:rPr>
                <w:color w:val="000000" w:themeColor="text1"/>
                <w:sz w:val="24"/>
                <w:szCs w:val="24"/>
                <w:rtl/>
              </w:rPr>
            </w:pPr>
            <w:r w:rsidRPr="00C85ED3">
              <w:rPr>
                <w:color w:val="000000" w:themeColor="text1"/>
                <w:sz w:val="24"/>
                <w:szCs w:val="24"/>
                <w:rtl/>
              </w:rPr>
              <w:t>الموافقة</w:t>
            </w:r>
          </w:p>
        </w:tc>
        <w:tc>
          <w:tcPr>
            <w:tcW w:w="360" w:type="pct"/>
            <w:shd w:val="clear" w:color="auto" w:fill="auto"/>
            <w:vAlign w:val="center"/>
          </w:tcPr>
          <w:p w14:paraId="523A5182"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6.21</w:t>
            </w:r>
          </w:p>
        </w:tc>
        <w:tc>
          <w:tcPr>
            <w:tcW w:w="593" w:type="pct"/>
            <w:shd w:val="clear" w:color="auto" w:fill="auto"/>
            <w:vAlign w:val="center"/>
          </w:tcPr>
          <w:p w14:paraId="2255DAA5"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0</w:t>
            </w:r>
          </w:p>
        </w:tc>
      </w:tr>
      <w:tr w:rsidR="009C4D0A" w:rsidRPr="00C85ED3" w14:paraId="22F3E702" w14:textId="77777777" w:rsidTr="00C85ED3">
        <w:trPr>
          <w:trHeight w:val="20"/>
          <w:jc w:val="center"/>
        </w:trPr>
        <w:tc>
          <w:tcPr>
            <w:tcW w:w="2897" w:type="pct"/>
          </w:tcPr>
          <w:p w14:paraId="0557255D" w14:textId="77777777" w:rsidR="00317A4A" w:rsidRPr="00C85ED3" w:rsidRDefault="00317A4A" w:rsidP="00C85ED3">
            <w:pPr>
              <w:pStyle w:val="ListParagraph"/>
              <w:numPr>
                <w:ilvl w:val="0"/>
                <w:numId w:val="16"/>
              </w:numPr>
              <w:spacing w:line="180" w:lineRule="auto"/>
              <w:ind w:left="357" w:hanging="357"/>
              <w:contextualSpacing w:val="0"/>
              <w:jc w:val="lowKashida"/>
              <w:rPr>
                <w:color w:val="000000" w:themeColor="text1"/>
                <w:sz w:val="24"/>
                <w:szCs w:val="24"/>
                <w:rtl/>
                <w:lang w:bidi="ar-EG"/>
              </w:rPr>
            </w:pPr>
            <w:r w:rsidRPr="00C85ED3">
              <w:rPr>
                <w:color w:val="000000" w:themeColor="text1"/>
                <w:sz w:val="24"/>
                <w:szCs w:val="24"/>
                <w:rtl/>
              </w:rPr>
              <w:t>يقلل الإفصاح عن المكاسب والخسائر الناتجة من ترجمة ‏العملات الأجنبية من أخطاء تنبؤات المحللين الماليين.‏</w:t>
            </w:r>
          </w:p>
        </w:tc>
        <w:tc>
          <w:tcPr>
            <w:tcW w:w="367" w:type="pct"/>
            <w:shd w:val="clear" w:color="auto" w:fill="auto"/>
            <w:vAlign w:val="center"/>
          </w:tcPr>
          <w:p w14:paraId="7B411070"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4.1</w:t>
            </w:r>
          </w:p>
        </w:tc>
        <w:tc>
          <w:tcPr>
            <w:tcW w:w="392" w:type="pct"/>
            <w:shd w:val="clear" w:color="auto" w:fill="auto"/>
            <w:vAlign w:val="center"/>
          </w:tcPr>
          <w:p w14:paraId="0A20869C"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0.72</w:t>
            </w:r>
          </w:p>
        </w:tc>
        <w:tc>
          <w:tcPr>
            <w:tcW w:w="392" w:type="pct"/>
            <w:shd w:val="clear" w:color="auto" w:fill="auto"/>
            <w:vAlign w:val="center"/>
          </w:tcPr>
          <w:p w14:paraId="1CD8D422" w14:textId="77777777" w:rsidR="00317A4A" w:rsidRPr="00C85ED3" w:rsidRDefault="00317A4A" w:rsidP="00C85ED3">
            <w:pPr>
              <w:spacing w:line="180" w:lineRule="auto"/>
              <w:jc w:val="center"/>
              <w:rPr>
                <w:color w:val="000000" w:themeColor="text1"/>
                <w:sz w:val="24"/>
                <w:szCs w:val="24"/>
                <w:rtl/>
              </w:rPr>
            </w:pPr>
            <w:r w:rsidRPr="00C85ED3">
              <w:rPr>
                <w:color w:val="000000" w:themeColor="text1"/>
                <w:sz w:val="24"/>
                <w:szCs w:val="24"/>
                <w:rtl/>
              </w:rPr>
              <w:t>الموافقة</w:t>
            </w:r>
          </w:p>
        </w:tc>
        <w:tc>
          <w:tcPr>
            <w:tcW w:w="360" w:type="pct"/>
            <w:shd w:val="clear" w:color="auto" w:fill="auto"/>
            <w:vAlign w:val="center"/>
          </w:tcPr>
          <w:p w14:paraId="454EDE70"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10.66</w:t>
            </w:r>
          </w:p>
        </w:tc>
        <w:tc>
          <w:tcPr>
            <w:tcW w:w="593" w:type="pct"/>
            <w:shd w:val="clear" w:color="auto" w:fill="auto"/>
            <w:vAlign w:val="center"/>
          </w:tcPr>
          <w:p w14:paraId="7DB85077"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0</w:t>
            </w:r>
          </w:p>
        </w:tc>
      </w:tr>
      <w:tr w:rsidR="009C4D0A" w:rsidRPr="00C85ED3" w14:paraId="170C9E26" w14:textId="77777777" w:rsidTr="00C85ED3">
        <w:trPr>
          <w:trHeight w:val="20"/>
          <w:jc w:val="center"/>
        </w:trPr>
        <w:tc>
          <w:tcPr>
            <w:tcW w:w="2897" w:type="pct"/>
          </w:tcPr>
          <w:p w14:paraId="01F20249" w14:textId="77777777" w:rsidR="00317A4A" w:rsidRPr="00C85ED3" w:rsidRDefault="00317A4A" w:rsidP="00C85ED3">
            <w:pPr>
              <w:pStyle w:val="ListParagraph"/>
              <w:numPr>
                <w:ilvl w:val="0"/>
                <w:numId w:val="16"/>
              </w:numPr>
              <w:spacing w:line="180" w:lineRule="auto"/>
              <w:ind w:left="357" w:hanging="357"/>
              <w:contextualSpacing w:val="0"/>
              <w:jc w:val="lowKashida"/>
              <w:rPr>
                <w:color w:val="000000" w:themeColor="text1"/>
                <w:sz w:val="24"/>
                <w:szCs w:val="24"/>
                <w:rtl/>
                <w:lang w:bidi="ar-EG"/>
              </w:rPr>
            </w:pPr>
            <w:r w:rsidRPr="00C85ED3">
              <w:rPr>
                <w:color w:val="000000" w:themeColor="text1"/>
                <w:sz w:val="24"/>
                <w:szCs w:val="24"/>
                <w:rtl/>
              </w:rPr>
              <w:t>تزيد القيمة السوقية للسهم بالمكاسب الناتجة عن ترجمة ‏العملات الأجنبية وتقل بالخسائر الناتجة عن ترجمة العملات ‏الأجنبية.‏</w:t>
            </w:r>
          </w:p>
        </w:tc>
        <w:tc>
          <w:tcPr>
            <w:tcW w:w="367" w:type="pct"/>
            <w:shd w:val="clear" w:color="auto" w:fill="auto"/>
            <w:vAlign w:val="center"/>
          </w:tcPr>
          <w:p w14:paraId="3C4E53BB"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4.1</w:t>
            </w:r>
          </w:p>
        </w:tc>
        <w:tc>
          <w:tcPr>
            <w:tcW w:w="392" w:type="pct"/>
            <w:shd w:val="clear" w:color="auto" w:fill="auto"/>
            <w:vAlign w:val="center"/>
          </w:tcPr>
          <w:p w14:paraId="23EF0308"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0.79</w:t>
            </w:r>
          </w:p>
        </w:tc>
        <w:tc>
          <w:tcPr>
            <w:tcW w:w="392" w:type="pct"/>
            <w:shd w:val="clear" w:color="auto" w:fill="auto"/>
            <w:vAlign w:val="center"/>
          </w:tcPr>
          <w:p w14:paraId="23540913" w14:textId="77777777" w:rsidR="00317A4A" w:rsidRPr="00C85ED3" w:rsidRDefault="00317A4A" w:rsidP="00C85ED3">
            <w:pPr>
              <w:spacing w:line="180" w:lineRule="auto"/>
              <w:jc w:val="center"/>
              <w:rPr>
                <w:color w:val="000000" w:themeColor="text1"/>
                <w:sz w:val="24"/>
                <w:szCs w:val="24"/>
                <w:rtl/>
              </w:rPr>
            </w:pPr>
            <w:r w:rsidRPr="00C85ED3">
              <w:rPr>
                <w:color w:val="000000" w:themeColor="text1"/>
                <w:sz w:val="24"/>
                <w:szCs w:val="24"/>
                <w:rtl/>
              </w:rPr>
              <w:t>الموافقة</w:t>
            </w:r>
          </w:p>
        </w:tc>
        <w:tc>
          <w:tcPr>
            <w:tcW w:w="360" w:type="pct"/>
            <w:shd w:val="clear" w:color="auto" w:fill="auto"/>
            <w:vAlign w:val="center"/>
          </w:tcPr>
          <w:p w14:paraId="69ECD619"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7.11</w:t>
            </w:r>
          </w:p>
        </w:tc>
        <w:tc>
          <w:tcPr>
            <w:tcW w:w="593" w:type="pct"/>
            <w:shd w:val="clear" w:color="auto" w:fill="auto"/>
            <w:vAlign w:val="center"/>
          </w:tcPr>
          <w:p w14:paraId="3DDE5FC3" w14:textId="77777777" w:rsidR="00317A4A" w:rsidRPr="00C85ED3" w:rsidRDefault="00317A4A" w:rsidP="00C85ED3">
            <w:pPr>
              <w:bidi w:val="0"/>
              <w:spacing w:line="180" w:lineRule="auto"/>
              <w:jc w:val="center"/>
              <w:rPr>
                <w:color w:val="000000" w:themeColor="text1"/>
                <w:sz w:val="24"/>
                <w:szCs w:val="24"/>
                <w:rtl/>
              </w:rPr>
            </w:pPr>
            <w:r w:rsidRPr="00C85ED3">
              <w:rPr>
                <w:color w:val="000000" w:themeColor="text1"/>
                <w:sz w:val="24"/>
                <w:szCs w:val="24"/>
                <w:rtl/>
              </w:rPr>
              <w:t>0</w:t>
            </w:r>
          </w:p>
        </w:tc>
      </w:tr>
      <w:tr w:rsidR="009C4D0A" w:rsidRPr="00C85ED3" w14:paraId="7A60CB31" w14:textId="77777777" w:rsidTr="00C85ED3">
        <w:trPr>
          <w:trHeight w:val="20"/>
          <w:jc w:val="center"/>
        </w:trPr>
        <w:tc>
          <w:tcPr>
            <w:tcW w:w="2897" w:type="pct"/>
            <w:shd w:val="clear" w:color="auto" w:fill="D9D9D9" w:themeFill="background1" w:themeFillShade="D9"/>
            <w:vAlign w:val="center"/>
          </w:tcPr>
          <w:p w14:paraId="5A1BD745" w14:textId="5D670382" w:rsidR="00317A4A" w:rsidRPr="00C85ED3" w:rsidRDefault="00317A4A" w:rsidP="00C85ED3">
            <w:pPr>
              <w:pStyle w:val="NoSpacing"/>
              <w:spacing w:line="192" w:lineRule="auto"/>
              <w:jc w:val="center"/>
              <w:rPr>
                <w:rFonts w:ascii="Times New Roman" w:hAnsi="Times New Roman" w:cs="Simplified Arabic"/>
                <w:color w:val="000000" w:themeColor="text1"/>
                <w:sz w:val="24"/>
                <w:szCs w:val="24"/>
                <w:rtl/>
                <w:lang w:bidi="ar-EG"/>
              </w:rPr>
            </w:pPr>
            <w:r w:rsidRPr="00C85ED3">
              <w:rPr>
                <w:rFonts w:ascii="Times New Roman" w:hAnsi="Times New Roman" w:cs="Simplified Arabic"/>
                <w:color w:val="000000" w:themeColor="text1"/>
                <w:sz w:val="24"/>
                <w:szCs w:val="24"/>
                <w:rtl/>
                <w:lang w:bidi="ar-EG"/>
              </w:rPr>
              <w:t>الإجمالي</w:t>
            </w:r>
          </w:p>
        </w:tc>
        <w:tc>
          <w:tcPr>
            <w:tcW w:w="367" w:type="pct"/>
            <w:shd w:val="clear" w:color="auto" w:fill="D9D9D9" w:themeFill="background1" w:themeFillShade="D9"/>
            <w:vAlign w:val="center"/>
          </w:tcPr>
          <w:p w14:paraId="791E4622"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4.1</w:t>
            </w:r>
          </w:p>
        </w:tc>
        <w:tc>
          <w:tcPr>
            <w:tcW w:w="392" w:type="pct"/>
            <w:shd w:val="clear" w:color="auto" w:fill="D9D9D9" w:themeFill="background1" w:themeFillShade="D9"/>
            <w:vAlign w:val="center"/>
          </w:tcPr>
          <w:p w14:paraId="19757EEA" w14:textId="77777777" w:rsidR="00317A4A" w:rsidRPr="00C85ED3" w:rsidRDefault="00317A4A" w:rsidP="00C85ED3">
            <w:pPr>
              <w:bidi w:val="0"/>
              <w:spacing w:line="192" w:lineRule="auto"/>
              <w:jc w:val="center"/>
              <w:rPr>
                <w:color w:val="000000" w:themeColor="text1"/>
                <w:sz w:val="24"/>
                <w:szCs w:val="24"/>
                <w:rtl/>
              </w:rPr>
            </w:pPr>
            <w:r w:rsidRPr="00C85ED3">
              <w:rPr>
                <w:color w:val="000000" w:themeColor="text1"/>
                <w:sz w:val="24"/>
                <w:szCs w:val="24"/>
                <w:rtl/>
              </w:rPr>
              <w:t>0.75</w:t>
            </w:r>
          </w:p>
        </w:tc>
        <w:tc>
          <w:tcPr>
            <w:tcW w:w="392" w:type="pct"/>
            <w:shd w:val="clear" w:color="auto" w:fill="D9D9D9" w:themeFill="background1" w:themeFillShade="D9"/>
            <w:vAlign w:val="center"/>
          </w:tcPr>
          <w:p w14:paraId="4B929486" w14:textId="77777777" w:rsidR="00317A4A" w:rsidRPr="00C85ED3" w:rsidRDefault="00317A4A" w:rsidP="00C85ED3">
            <w:pPr>
              <w:spacing w:line="192" w:lineRule="auto"/>
              <w:jc w:val="center"/>
              <w:rPr>
                <w:b/>
                <w:bCs/>
                <w:color w:val="000000" w:themeColor="text1"/>
                <w:sz w:val="24"/>
                <w:szCs w:val="24"/>
                <w:rtl/>
              </w:rPr>
            </w:pPr>
          </w:p>
        </w:tc>
        <w:tc>
          <w:tcPr>
            <w:tcW w:w="360" w:type="pct"/>
            <w:shd w:val="clear" w:color="auto" w:fill="D9D9D9" w:themeFill="background1" w:themeFillShade="D9"/>
            <w:vAlign w:val="center"/>
          </w:tcPr>
          <w:p w14:paraId="5158B763" w14:textId="77777777" w:rsidR="00317A4A" w:rsidRPr="00C85ED3" w:rsidRDefault="00317A4A" w:rsidP="00C85ED3">
            <w:pPr>
              <w:bidi w:val="0"/>
              <w:spacing w:line="192" w:lineRule="auto"/>
              <w:jc w:val="center"/>
              <w:rPr>
                <w:b/>
                <w:bCs/>
                <w:color w:val="000000" w:themeColor="text1"/>
                <w:sz w:val="24"/>
                <w:szCs w:val="24"/>
                <w:rtl/>
              </w:rPr>
            </w:pPr>
          </w:p>
        </w:tc>
        <w:tc>
          <w:tcPr>
            <w:tcW w:w="593" w:type="pct"/>
            <w:shd w:val="clear" w:color="auto" w:fill="D9D9D9" w:themeFill="background1" w:themeFillShade="D9"/>
            <w:vAlign w:val="center"/>
          </w:tcPr>
          <w:p w14:paraId="53804195" w14:textId="77777777" w:rsidR="00317A4A" w:rsidRPr="00C85ED3" w:rsidRDefault="00317A4A" w:rsidP="00C85ED3">
            <w:pPr>
              <w:bidi w:val="0"/>
              <w:spacing w:line="192" w:lineRule="auto"/>
              <w:jc w:val="center"/>
              <w:rPr>
                <w:b/>
                <w:bCs/>
                <w:color w:val="000000" w:themeColor="text1"/>
                <w:sz w:val="24"/>
                <w:szCs w:val="24"/>
                <w:rtl/>
              </w:rPr>
            </w:pPr>
          </w:p>
        </w:tc>
      </w:tr>
    </w:tbl>
    <w:p w14:paraId="41FCF3F9" w14:textId="6A7CCE14" w:rsidR="00317A4A" w:rsidRPr="00E24FBE" w:rsidRDefault="00317A4A" w:rsidP="00C85ED3">
      <w:pPr>
        <w:spacing w:line="192" w:lineRule="auto"/>
        <w:ind w:firstLine="720"/>
        <w:rPr>
          <w:color w:val="000000" w:themeColor="text1"/>
          <w:sz w:val="26"/>
          <w:szCs w:val="26"/>
          <w:rtl/>
        </w:rPr>
      </w:pPr>
      <w:r w:rsidRPr="00E24FBE">
        <w:rPr>
          <w:color w:val="000000" w:themeColor="text1"/>
          <w:sz w:val="26"/>
          <w:szCs w:val="26"/>
          <w:rtl/>
        </w:rPr>
        <w:lastRenderedPageBreak/>
        <w:t>يتضح من الجدول السابق أن مستوى الدلالة أقل من 0.05 مما يعني وجود دلا</w:t>
      </w:r>
      <w:r w:rsidRPr="00E24FBE">
        <w:rPr>
          <w:rFonts w:hint="cs"/>
          <w:color w:val="000000" w:themeColor="text1"/>
          <w:sz w:val="26"/>
          <w:szCs w:val="26"/>
          <w:rtl/>
        </w:rPr>
        <w:t>لة</w:t>
      </w:r>
      <w:r w:rsidRPr="00E24FBE">
        <w:rPr>
          <w:color w:val="000000" w:themeColor="text1"/>
          <w:sz w:val="26"/>
          <w:szCs w:val="26"/>
          <w:rtl/>
        </w:rPr>
        <w:t xml:space="preserve"> معنوية أي أنه تمت الموافقة </w:t>
      </w:r>
      <w:r w:rsidRPr="00E24FBE">
        <w:rPr>
          <w:rFonts w:hint="cs"/>
          <w:color w:val="000000" w:themeColor="text1"/>
          <w:sz w:val="26"/>
          <w:szCs w:val="26"/>
          <w:rtl/>
        </w:rPr>
        <w:t xml:space="preserve">والموافقة على جميع العبارات الفرض </w:t>
      </w:r>
      <w:proofErr w:type="spellStart"/>
      <w:r w:rsidRPr="00E24FBE">
        <w:rPr>
          <w:rFonts w:hint="cs"/>
          <w:color w:val="000000" w:themeColor="text1"/>
          <w:sz w:val="26"/>
          <w:szCs w:val="26"/>
          <w:rtl/>
        </w:rPr>
        <w:t>الفرعى</w:t>
      </w:r>
      <w:proofErr w:type="spellEnd"/>
      <w:r w:rsidRPr="00E24FBE">
        <w:rPr>
          <w:rFonts w:hint="cs"/>
          <w:color w:val="000000" w:themeColor="text1"/>
          <w:sz w:val="26"/>
          <w:szCs w:val="26"/>
          <w:rtl/>
        </w:rPr>
        <w:t xml:space="preserve"> الثالث.</w:t>
      </w:r>
    </w:p>
    <w:p w14:paraId="6894D662" w14:textId="41FD14B0" w:rsidR="00317A4A" w:rsidRPr="00221D26" w:rsidRDefault="00317A4A" w:rsidP="00C85ED3">
      <w:pPr>
        <w:spacing w:line="192" w:lineRule="auto"/>
        <w:jc w:val="center"/>
        <w:rPr>
          <w:rFonts w:eastAsiaTheme="minorEastAsia"/>
          <w:b/>
          <w:bCs/>
          <w:color w:val="000000" w:themeColor="text1"/>
          <w:sz w:val="26"/>
          <w:szCs w:val="26"/>
          <w:rtl/>
        </w:rPr>
      </w:pPr>
      <w:r w:rsidRPr="00221D26">
        <w:rPr>
          <w:rFonts w:eastAsiaTheme="minorEastAsia"/>
          <w:b/>
          <w:bCs/>
          <w:color w:val="000000" w:themeColor="text1"/>
          <w:sz w:val="26"/>
          <w:szCs w:val="26"/>
          <w:rtl/>
        </w:rPr>
        <w:t>جدول</w:t>
      </w:r>
      <w:r w:rsidRPr="00221D26">
        <w:rPr>
          <w:rFonts w:eastAsiaTheme="minorEastAsia" w:hint="cs"/>
          <w:b/>
          <w:bCs/>
          <w:color w:val="000000" w:themeColor="text1"/>
          <w:sz w:val="26"/>
          <w:szCs w:val="26"/>
          <w:rtl/>
        </w:rPr>
        <w:t xml:space="preserve"> رقم</w:t>
      </w:r>
      <w:r w:rsidRPr="00221D26">
        <w:rPr>
          <w:rFonts w:eastAsiaTheme="minorEastAsia"/>
          <w:b/>
          <w:bCs/>
          <w:color w:val="000000" w:themeColor="text1"/>
          <w:sz w:val="26"/>
          <w:szCs w:val="26"/>
          <w:rtl/>
        </w:rPr>
        <w:t xml:space="preserve"> </w:t>
      </w:r>
      <w:r w:rsidRPr="00221D26">
        <w:rPr>
          <w:rFonts w:eastAsiaTheme="minorEastAsia" w:hint="cs"/>
          <w:b/>
          <w:bCs/>
          <w:color w:val="000000" w:themeColor="text1"/>
          <w:sz w:val="26"/>
          <w:szCs w:val="26"/>
          <w:rtl/>
        </w:rPr>
        <w:t>(20</w:t>
      </w:r>
      <w:r w:rsidRPr="00221D26">
        <w:rPr>
          <w:rFonts w:eastAsiaTheme="minorEastAsia"/>
          <w:b/>
          <w:bCs/>
          <w:color w:val="000000" w:themeColor="text1"/>
          <w:sz w:val="26"/>
          <w:szCs w:val="26"/>
          <w:rtl/>
        </w:rPr>
        <w:t>)</w:t>
      </w:r>
      <w:r w:rsidRPr="00221D26">
        <w:rPr>
          <w:rFonts w:eastAsiaTheme="minorEastAsia" w:hint="cs"/>
          <w:b/>
          <w:bCs/>
          <w:color w:val="000000" w:themeColor="text1"/>
          <w:sz w:val="26"/>
          <w:szCs w:val="26"/>
          <w:rtl/>
        </w:rPr>
        <w:t xml:space="preserve"> </w:t>
      </w:r>
      <w:r w:rsidRPr="00221D26">
        <w:rPr>
          <w:rFonts w:eastAsiaTheme="minorEastAsia"/>
          <w:b/>
          <w:bCs/>
          <w:color w:val="000000" w:themeColor="text1"/>
          <w:sz w:val="26"/>
          <w:szCs w:val="26"/>
          <w:rtl/>
        </w:rPr>
        <w:t xml:space="preserve">الاحصاء الوصفي لنتائج آراء العينة </w:t>
      </w:r>
      <w:r w:rsidRPr="00221D26">
        <w:rPr>
          <w:rFonts w:eastAsiaTheme="minorEastAsia" w:hint="cs"/>
          <w:b/>
          <w:bCs/>
          <w:color w:val="000000" w:themeColor="text1"/>
          <w:sz w:val="26"/>
          <w:szCs w:val="26"/>
          <w:rtl/>
        </w:rPr>
        <w:t xml:space="preserve"> حول العبارات </w:t>
      </w:r>
      <w:r w:rsidR="00C85ED3">
        <w:rPr>
          <w:rFonts w:eastAsiaTheme="minorEastAsia"/>
          <w:b/>
          <w:bCs/>
          <w:color w:val="000000" w:themeColor="text1"/>
          <w:sz w:val="26"/>
          <w:szCs w:val="26"/>
          <w:rtl/>
        </w:rPr>
        <w:br/>
      </w:r>
      <w:r w:rsidRPr="00221D26">
        <w:rPr>
          <w:rFonts w:eastAsiaTheme="minorEastAsia" w:hint="cs"/>
          <w:b/>
          <w:bCs/>
          <w:color w:val="000000" w:themeColor="text1"/>
          <w:sz w:val="26"/>
          <w:szCs w:val="26"/>
          <w:rtl/>
        </w:rPr>
        <w:t>التي ت</w:t>
      </w:r>
      <w:r w:rsidR="00221D26">
        <w:rPr>
          <w:rFonts w:eastAsiaTheme="minorEastAsia" w:hint="cs"/>
          <w:b/>
          <w:bCs/>
          <w:color w:val="000000" w:themeColor="text1"/>
          <w:sz w:val="26"/>
          <w:szCs w:val="26"/>
          <w:rtl/>
        </w:rPr>
        <w:t xml:space="preserve">حدد متغيرات الفرض </w:t>
      </w:r>
      <w:proofErr w:type="spellStart"/>
      <w:r w:rsidR="00221D26">
        <w:rPr>
          <w:rFonts w:eastAsiaTheme="minorEastAsia" w:hint="cs"/>
          <w:b/>
          <w:bCs/>
          <w:color w:val="000000" w:themeColor="text1"/>
          <w:sz w:val="26"/>
          <w:szCs w:val="26"/>
          <w:rtl/>
        </w:rPr>
        <w:t>الفرعى</w:t>
      </w:r>
      <w:proofErr w:type="spellEnd"/>
      <w:r w:rsidR="00221D26">
        <w:rPr>
          <w:rFonts w:eastAsiaTheme="minorEastAsia" w:hint="cs"/>
          <w:b/>
          <w:bCs/>
          <w:color w:val="000000" w:themeColor="text1"/>
          <w:sz w:val="26"/>
          <w:szCs w:val="26"/>
          <w:rtl/>
        </w:rPr>
        <w:t xml:space="preserve"> الرابع</w:t>
      </w:r>
    </w:p>
    <w:tbl>
      <w:tblPr>
        <w:bidiVisual/>
        <w:tblW w:w="5275"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30"/>
        <w:gridCol w:w="733"/>
        <w:gridCol w:w="838"/>
        <w:gridCol w:w="726"/>
        <w:gridCol w:w="607"/>
        <w:gridCol w:w="1158"/>
      </w:tblGrid>
      <w:tr w:rsidR="009C4D0A" w:rsidRPr="00826CE4" w14:paraId="253934F4" w14:textId="77777777" w:rsidTr="00C85ED3">
        <w:trPr>
          <w:trHeight w:val="20"/>
          <w:tblHeader/>
          <w:jc w:val="center"/>
        </w:trPr>
        <w:tc>
          <w:tcPr>
            <w:tcW w:w="2766" w:type="pct"/>
            <w:shd w:val="thinDiagCross" w:color="D9D9D9" w:themeColor="background1" w:themeShade="D9" w:fill="FFFFFF" w:themeFill="background1"/>
            <w:vAlign w:val="center"/>
            <w:hideMark/>
          </w:tcPr>
          <w:p w14:paraId="4AC08046" w14:textId="159C6A39" w:rsidR="00317A4A" w:rsidRPr="00826CE4" w:rsidRDefault="00317A4A" w:rsidP="00C85ED3">
            <w:pPr>
              <w:spacing w:line="192" w:lineRule="auto"/>
              <w:ind w:left="-58"/>
              <w:jc w:val="center"/>
              <w:rPr>
                <w:b/>
                <w:bCs/>
                <w:color w:val="000000" w:themeColor="text1"/>
                <w:sz w:val="24"/>
                <w:szCs w:val="24"/>
                <w:rtl/>
              </w:rPr>
            </w:pPr>
            <w:r w:rsidRPr="00826CE4">
              <w:rPr>
                <w:b/>
                <w:bCs/>
                <w:color w:val="000000" w:themeColor="text1"/>
                <w:sz w:val="24"/>
                <w:szCs w:val="24"/>
                <w:rtl/>
              </w:rPr>
              <w:t>العبارات</w:t>
            </w:r>
          </w:p>
        </w:tc>
        <w:tc>
          <w:tcPr>
            <w:tcW w:w="403" w:type="pct"/>
            <w:shd w:val="thinDiagCross" w:color="D9D9D9" w:themeColor="background1" w:themeShade="D9" w:fill="FFFFFF" w:themeFill="background1"/>
            <w:vAlign w:val="center"/>
            <w:hideMark/>
          </w:tcPr>
          <w:p w14:paraId="5605CD9A" w14:textId="77777777" w:rsidR="00317A4A" w:rsidRPr="00826CE4" w:rsidRDefault="00317A4A" w:rsidP="00C85ED3">
            <w:pPr>
              <w:spacing w:line="192" w:lineRule="auto"/>
              <w:ind w:left="-58"/>
              <w:jc w:val="center"/>
              <w:rPr>
                <w:b/>
                <w:bCs/>
                <w:color w:val="000000" w:themeColor="text1"/>
                <w:sz w:val="24"/>
                <w:szCs w:val="24"/>
                <w:rtl/>
              </w:rPr>
            </w:pPr>
            <w:r w:rsidRPr="00826CE4">
              <w:rPr>
                <w:b/>
                <w:bCs/>
                <w:color w:val="000000" w:themeColor="text1"/>
                <w:sz w:val="24"/>
                <w:szCs w:val="24"/>
                <w:rtl/>
              </w:rPr>
              <w:t>المتوسط المرجح</w:t>
            </w:r>
          </w:p>
        </w:tc>
        <w:tc>
          <w:tcPr>
            <w:tcW w:w="461" w:type="pct"/>
            <w:shd w:val="thinDiagCross" w:color="D9D9D9" w:themeColor="background1" w:themeShade="D9" w:fill="FFFFFF" w:themeFill="background1"/>
            <w:vAlign w:val="center"/>
            <w:hideMark/>
          </w:tcPr>
          <w:p w14:paraId="37AD746C" w14:textId="77777777" w:rsidR="00317A4A" w:rsidRPr="00826CE4" w:rsidRDefault="00317A4A" w:rsidP="00C85ED3">
            <w:pPr>
              <w:spacing w:line="192" w:lineRule="auto"/>
              <w:ind w:left="-58"/>
              <w:jc w:val="center"/>
              <w:rPr>
                <w:b/>
                <w:bCs/>
                <w:color w:val="000000" w:themeColor="text1"/>
                <w:sz w:val="24"/>
                <w:szCs w:val="24"/>
                <w:rtl/>
              </w:rPr>
            </w:pPr>
            <w:r w:rsidRPr="00826CE4">
              <w:rPr>
                <w:b/>
                <w:bCs/>
                <w:color w:val="000000" w:themeColor="text1"/>
                <w:sz w:val="24"/>
                <w:szCs w:val="24"/>
                <w:rtl/>
              </w:rPr>
              <w:t>الانحراف المعياري</w:t>
            </w:r>
          </w:p>
        </w:tc>
        <w:tc>
          <w:tcPr>
            <w:tcW w:w="399" w:type="pct"/>
            <w:shd w:val="thinDiagCross" w:color="D9D9D9" w:themeColor="background1" w:themeShade="D9" w:fill="FFFFFF" w:themeFill="background1"/>
            <w:vAlign w:val="center"/>
            <w:hideMark/>
          </w:tcPr>
          <w:p w14:paraId="14582728" w14:textId="77777777" w:rsidR="00317A4A" w:rsidRPr="00826CE4" w:rsidRDefault="00317A4A" w:rsidP="00C85ED3">
            <w:pPr>
              <w:spacing w:line="192" w:lineRule="auto"/>
              <w:ind w:left="-58"/>
              <w:jc w:val="center"/>
              <w:rPr>
                <w:b/>
                <w:bCs/>
                <w:color w:val="000000" w:themeColor="text1"/>
                <w:sz w:val="24"/>
                <w:szCs w:val="24"/>
                <w:rtl/>
              </w:rPr>
            </w:pPr>
            <w:r w:rsidRPr="00826CE4">
              <w:rPr>
                <w:b/>
                <w:bCs/>
                <w:color w:val="000000" w:themeColor="text1"/>
                <w:sz w:val="24"/>
                <w:szCs w:val="24"/>
                <w:rtl/>
              </w:rPr>
              <w:t>درجة الموافقة</w:t>
            </w:r>
          </w:p>
        </w:tc>
        <w:tc>
          <w:tcPr>
            <w:tcW w:w="334" w:type="pct"/>
            <w:shd w:val="thinDiagCross" w:color="D9D9D9" w:themeColor="background1" w:themeShade="D9" w:fill="FFFFFF" w:themeFill="background1"/>
            <w:vAlign w:val="center"/>
            <w:hideMark/>
          </w:tcPr>
          <w:p w14:paraId="14E2EDCB" w14:textId="77777777" w:rsidR="00317A4A" w:rsidRPr="00826CE4" w:rsidRDefault="00317A4A" w:rsidP="00C85ED3">
            <w:pPr>
              <w:spacing w:line="192" w:lineRule="auto"/>
              <w:ind w:left="-58"/>
              <w:jc w:val="center"/>
              <w:rPr>
                <w:b/>
                <w:bCs/>
                <w:color w:val="000000" w:themeColor="text1"/>
                <w:sz w:val="24"/>
                <w:szCs w:val="24"/>
                <w:rtl/>
              </w:rPr>
            </w:pPr>
            <w:r w:rsidRPr="00826CE4">
              <w:rPr>
                <w:b/>
                <w:bCs/>
                <w:color w:val="000000" w:themeColor="text1"/>
                <w:sz w:val="24"/>
                <w:szCs w:val="24"/>
                <w:rtl/>
              </w:rPr>
              <w:t>قيمة t</w:t>
            </w:r>
          </w:p>
        </w:tc>
        <w:tc>
          <w:tcPr>
            <w:tcW w:w="637" w:type="pct"/>
            <w:shd w:val="thinDiagCross" w:color="D9D9D9" w:themeColor="background1" w:themeShade="D9" w:fill="FFFFFF" w:themeFill="background1"/>
            <w:vAlign w:val="center"/>
            <w:hideMark/>
          </w:tcPr>
          <w:p w14:paraId="60C94A6D" w14:textId="77777777" w:rsidR="00317A4A" w:rsidRPr="00826CE4" w:rsidRDefault="00317A4A" w:rsidP="00C85ED3">
            <w:pPr>
              <w:spacing w:line="192" w:lineRule="auto"/>
              <w:ind w:left="-58"/>
              <w:jc w:val="center"/>
              <w:rPr>
                <w:b/>
                <w:bCs/>
                <w:color w:val="000000" w:themeColor="text1"/>
                <w:sz w:val="24"/>
                <w:szCs w:val="24"/>
                <w:rtl/>
              </w:rPr>
            </w:pPr>
            <w:r w:rsidRPr="00826CE4">
              <w:rPr>
                <w:b/>
                <w:bCs/>
                <w:color w:val="000000" w:themeColor="text1"/>
                <w:sz w:val="24"/>
                <w:szCs w:val="24"/>
                <w:rtl/>
              </w:rPr>
              <w:t xml:space="preserve">مستوى الدلالة </w:t>
            </w:r>
            <w:proofErr w:type="spellStart"/>
            <w:r w:rsidRPr="00826CE4">
              <w:rPr>
                <w:b/>
                <w:bCs/>
                <w:color w:val="000000" w:themeColor="text1"/>
                <w:sz w:val="24"/>
                <w:szCs w:val="24"/>
                <w:rtl/>
              </w:rPr>
              <w:t>Sig</w:t>
            </w:r>
            <w:proofErr w:type="spellEnd"/>
            <w:r w:rsidRPr="00826CE4">
              <w:rPr>
                <w:b/>
                <w:bCs/>
                <w:color w:val="000000" w:themeColor="text1"/>
                <w:sz w:val="24"/>
                <w:szCs w:val="24"/>
                <w:rtl/>
              </w:rPr>
              <w:t>.</w:t>
            </w:r>
          </w:p>
        </w:tc>
      </w:tr>
      <w:tr w:rsidR="009C4D0A" w:rsidRPr="00826CE4" w14:paraId="27065925" w14:textId="77777777" w:rsidTr="00C85ED3">
        <w:trPr>
          <w:trHeight w:val="20"/>
          <w:jc w:val="center"/>
        </w:trPr>
        <w:tc>
          <w:tcPr>
            <w:tcW w:w="2766" w:type="pct"/>
          </w:tcPr>
          <w:p w14:paraId="1EB14A10" w14:textId="77777777" w:rsidR="00317A4A" w:rsidRPr="00826CE4" w:rsidRDefault="00317A4A" w:rsidP="00C85ED3">
            <w:pPr>
              <w:pStyle w:val="ListParagraph"/>
              <w:numPr>
                <w:ilvl w:val="0"/>
                <w:numId w:val="17"/>
              </w:numPr>
              <w:spacing w:line="192" w:lineRule="auto"/>
              <w:ind w:left="357" w:hanging="357"/>
              <w:contextualSpacing w:val="0"/>
              <w:jc w:val="lowKashida"/>
              <w:rPr>
                <w:color w:val="000000" w:themeColor="text1"/>
                <w:sz w:val="24"/>
                <w:szCs w:val="24"/>
                <w:rtl/>
                <w:lang w:bidi="ar-EG"/>
              </w:rPr>
            </w:pPr>
            <w:r w:rsidRPr="00826CE4">
              <w:rPr>
                <w:color w:val="000000" w:themeColor="text1"/>
                <w:sz w:val="24"/>
                <w:szCs w:val="24"/>
                <w:rtl/>
              </w:rPr>
              <w:t xml:space="preserve">يعتبر الإفصاح عن المكاسب والخسائر </w:t>
            </w:r>
            <w:proofErr w:type="spellStart"/>
            <w:r w:rsidRPr="00826CE4">
              <w:rPr>
                <w:color w:val="000000" w:themeColor="text1"/>
                <w:sz w:val="24"/>
                <w:szCs w:val="24"/>
                <w:rtl/>
              </w:rPr>
              <w:t>الاكتوارية</w:t>
            </w:r>
            <w:proofErr w:type="spellEnd"/>
            <w:r w:rsidRPr="00826CE4">
              <w:rPr>
                <w:color w:val="000000" w:themeColor="text1"/>
                <w:sz w:val="24"/>
                <w:szCs w:val="24"/>
                <w:rtl/>
              </w:rPr>
              <w:t xml:space="preserve"> على خطط ‏منافع الموظفين مؤشراً على مدفوعات المعاشات التقاعدية ‏المستقبلية التي تقوم بها المنشأة والالتزامات المستقبلية.‏</w:t>
            </w:r>
          </w:p>
        </w:tc>
        <w:tc>
          <w:tcPr>
            <w:tcW w:w="403" w:type="pct"/>
            <w:shd w:val="clear" w:color="auto" w:fill="auto"/>
            <w:vAlign w:val="center"/>
          </w:tcPr>
          <w:p w14:paraId="1272FDFD"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4</w:t>
            </w:r>
          </w:p>
        </w:tc>
        <w:tc>
          <w:tcPr>
            <w:tcW w:w="461" w:type="pct"/>
            <w:shd w:val="clear" w:color="auto" w:fill="auto"/>
            <w:vAlign w:val="center"/>
          </w:tcPr>
          <w:p w14:paraId="608692E6" w14:textId="77777777" w:rsidR="00317A4A" w:rsidRPr="00826CE4" w:rsidRDefault="00317A4A" w:rsidP="00C85ED3">
            <w:pPr>
              <w:bidi w:val="0"/>
              <w:spacing w:line="192" w:lineRule="auto"/>
              <w:jc w:val="center"/>
              <w:rPr>
                <w:color w:val="000000" w:themeColor="text1"/>
                <w:sz w:val="24"/>
                <w:szCs w:val="24"/>
              </w:rPr>
            </w:pPr>
            <w:r w:rsidRPr="00826CE4">
              <w:rPr>
                <w:color w:val="000000" w:themeColor="text1"/>
                <w:sz w:val="24"/>
                <w:szCs w:val="24"/>
                <w:rtl/>
              </w:rPr>
              <w:t>0.87</w:t>
            </w:r>
          </w:p>
        </w:tc>
        <w:tc>
          <w:tcPr>
            <w:tcW w:w="399" w:type="pct"/>
            <w:shd w:val="clear" w:color="auto" w:fill="auto"/>
            <w:vAlign w:val="center"/>
          </w:tcPr>
          <w:p w14:paraId="25BE600B" w14:textId="77777777" w:rsidR="00317A4A" w:rsidRPr="00826CE4" w:rsidRDefault="00317A4A" w:rsidP="00C85ED3">
            <w:pPr>
              <w:spacing w:line="192" w:lineRule="auto"/>
              <w:jc w:val="center"/>
              <w:rPr>
                <w:color w:val="000000" w:themeColor="text1"/>
                <w:sz w:val="24"/>
                <w:szCs w:val="24"/>
                <w:rtl/>
              </w:rPr>
            </w:pPr>
            <w:r w:rsidRPr="00826CE4">
              <w:rPr>
                <w:color w:val="000000" w:themeColor="text1"/>
                <w:sz w:val="24"/>
                <w:szCs w:val="24"/>
                <w:rtl/>
              </w:rPr>
              <w:t>الموافقة</w:t>
            </w:r>
          </w:p>
        </w:tc>
        <w:tc>
          <w:tcPr>
            <w:tcW w:w="334" w:type="pct"/>
            <w:shd w:val="clear" w:color="auto" w:fill="auto"/>
            <w:vAlign w:val="center"/>
          </w:tcPr>
          <w:p w14:paraId="13773B59"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7.58</w:t>
            </w:r>
          </w:p>
        </w:tc>
        <w:tc>
          <w:tcPr>
            <w:tcW w:w="637" w:type="pct"/>
            <w:shd w:val="clear" w:color="auto" w:fill="auto"/>
            <w:vAlign w:val="center"/>
          </w:tcPr>
          <w:p w14:paraId="602C8565"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w:t>
            </w:r>
          </w:p>
        </w:tc>
      </w:tr>
      <w:tr w:rsidR="009C4D0A" w:rsidRPr="00826CE4" w14:paraId="7DDF34A4" w14:textId="77777777" w:rsidTr="00C85ED3">
        <w:trPr>
          <w:trHeight w:val="20"/>
          <w:jc w:val="center"/>
        </w:trPr>
        <w:tc>
          <w:tcPr>
            <w:tcW w:w="2766" w:type="pct"/>
          </w:tcPr>
          <w:p w14:paraId="3996B809" w14:textId="77777777" w:rsidR="00317A4A" w:rsidRPr="00826CE4" w:rsidRDefault="00317A4A" w:rsidP="00C85ED3">
            <w:pPr>
              <w:pStyle w:val="ListParagraph"/>
              <w:numPr>
                <w:ilvl w:val="0"/>
                <w:numId w:val="17"/>
              </w:numPr>
              <w:spacing w:line="192" w:lineRule="auto"/>
              <w:ind w:left="357" w:hanging="357"/>
              <w:contextualSpacing w:val="0"/>
              <w:jc w:val="lowKashida"/>
              <w:rPr>
                <w:color w:val="000000" w:themeColor="text1"/>
                <w:sz w:val="24"/>
                <w:szCs w:val="24"/>
                <w:rtl/>
                <w:lang w:bidi="ar-EG"/>
              </w:rPr>
            </w:pPr>
            <w:r w:rsidRPr="00826CE4">
              <w:rPr>
                <w:color w:val="000000" w:themeColor="text1"/>
                <w:sz w:val="24"/>
                <w:szCs w:val="24"/>
                <w:rtl/>
              </w:rPr>
              <w:t xml:space="preserve">يعتبر الإفصاح عن المكاسب والخسائر </w:t>
            </w:r>
            <w:proofErr w:type="spellStart"/>
            <w:r w:rsidRPr="00826CE4">
              <w:rPr>
                <w:color w:val="000000" w:themeColor="text1"/>
                <w:sz w:val="24"/>
                <w:szCs w:val="24"/>
                <w:rtl/>
              </w:rPr>
              <w:t>الاكتوارية</w:t>
            </w:r>
            <w:proofErr w:type="spellEnd"/>
            <w:r w:rsidRPr="00826CE4">
              <w:rPr>
                <w:color w:val="000000" w:themeColor="text1"/>
                <w:sz w:val="24"/>
                <w:szCs w:val="24"/>
                <w:rtl/>
              </w:rPr>
              <w:t xml:space="preserve"> على خطط ‏منافع الموظفين مؤشراً على زيادة ربحية السهم.‏</w:t>
            </w:r>
          </w:p>
        </w:tc>
        <w:tc>
          <w:tcPr>
            <w:tcW w:w="403" w:type="pct"/>
            <w:shd w:val="clear" w:color="auto" w:fill="auto"/>
            <w:vAlign w:val="center"/>
          </w:tcPr>
          <w:p w14:paraId="661EF1B5"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3.9</w:t>
            </w:r>
          </w:p>
        </w:tc>
        <w:tc>
          <w:tcPr>
            <w:tcW w:w="461" w:type="pct"/>
            <w:shd w:val="clear" w:color="auto" w:fill="auto"/>
            <w:vAlign w:val="center"/>
          </w:tcPr>
          <w:p w14:paraId="4C2B8EAF"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0.88</w:t>
            </w:r>
          </w:p>
        </w:tc>
        <w:tc>
          <w:tcPr>
            <w:tcW w:w="399" w:type="pct"/>
            <w:shd w:val="clear" w:color="auto" w:fill="auto"/>
            <w:vAlign w:val="center"/>
          </w:tcPr>
          <w:p w14:paraId="3E0DB8ED" w14:textId="77777777" w:rsidR="00317A4A" w:rsidRPr="00826CE4" w:rsidRDefault="00317A4A" w:rsidP="00C85ED3">
            <w:pPr>
              <w:spacing w:line="192" w:lineRule="auto"/>
              <w:jc w:val="center"/>
              <w:rPr>
                <w:color w:val="000000" w:themeColor="text1"/>
                <w:sz w:val="24"/>
                <w:szCs w:val="24"/>
                <w:rtl/>
              </w:rPr>
            </w:pPr>
            <w:r w:rsidRPr="00826CE4">
              <w:rPr>
                <w:color w:val="000000" w:themeColor="text1"/>
                <w:sz w:val="24"/>
                <w:szCs w:val="24"/>
                <w:rtl/>
              </w:rPr>
              <w:t>الموافقة</w:t>
            </w:r>
          </w:p>
        </w:tc>
        <w:tc>
          <w:tcPr>
            <w:tcW w:w="334" w:type="pct"/>
            <w:shd w:val="clear" w:color="auto" w:fill="auto"/>
            <w:vAlign w:val="center"/>
          </w:tcPr>
          <w:p w14:paraId="2F7C1E69"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6.09</w:t>
            </w:r>
          </w:p>
        </w:tc>
        <w:tc>
          <w:tcPr>
            <w:tcW w:w="637" w:type="pct"/>
            <w:shd w:val="clear" w:color="auto" w:fill="auto"/>
            <w:vAlign w:val="center"/>
          </w:tcPr>
          <w:p w14:paraId="47A77278"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w:t>
            </w:r>
          </w:p>
        </w:tc>
      </w:tr>
      <w:tr w:rsidR="009C4D0A" w:rsidRPr="00826CE4" w14:paraId="723C0AF7" w14:textId="77777777" w:rsidTr="00C85ED3">
        <w:trPr>
          <w:trHeight w:val="20"/>
          <w:jc w:val="center"/>
        </w:trPr>
        <w:tc>
          <w:tcPr>
            <w:tcW w:w="2766" w:type="pct"/>
          </w:tcPr>
          <w:p w14:paraId="76F3699E" w14:textId="77777777" w:rsidR="00317A4A" w:rsidRPr="00826CE4" w:rsidRDefault="00317A4A" w:rsidP="00C85ED3">
            <w:pPr>
              <w:pStyle w:val="ListParagraph"/>
              <w:numPr>
                <w:ilvl w:val="0"/>
                <w:numId w:val="17"/>
              </w:numPr>
              <w:spacing w:line="192" w:lineRule="auto"/>
              <w:ind w:left="357" w:hanging="357"/>
              <w:contextualSpacing w:val="0"/>
              <w:jc w:val="lowKashida"/>
              <w:rPr>
                <w:color w:val="000000" w:themeColor="text1"/>
                <w:sz w:val="24"/>
                <w:szCs w:val="24"/>
                <w:rtl/>
                <w:lang w:bidi="ar-EG"/>
              </w:rPr>
            </w:pPr>
            <w:r w:rsidRPr="00826CE4">
              <w:rPr>
                <w:color w:val="000000" w:themeColor="text1"/>
                <w:sz w:val="24"/>
                <w:szCs w:val="24"/>
                <w:rtl/>
              </w:rPr>
              <w:t xml:space="preserve">يقلل الإفصاح عن المكاسب والخسائر </w:t>
            </w:r>
            <w:proofErr w:type="spellStart"/>
            <w:r w:rsidRPr="00826CE4">
              <w:rPr>
                <w:color w:val="000000" w:themeColor="text1"/>
                <w:sz w:val="24"/>
                <w:szCs w:val="24"/>
                <w:rtl/>
              </w:rPr>
              <w:t>الاكتوارية</w:t>
            </w:r>
            <w:proofErr w:type="spellEnd"/>
            <w:r w:rsidRPr="00826CE4">
              <w:rPr>
                <w:color w:val="000000" w:themeColor="text1"/>
                <w:sz w:val="24"/>
                <w:szCs w:val="24"/>
                <w:rtl/>
              </w:rPr>
              <w:t xml:space="preserve"> على خطط ‏منافع الموظفين من نسبة الرافعة المالية.‏</w:t>
            </w:r>
          </w:p>
        </w:tc>
        <w:tc>
          <w:tcPr>
            <w:tcW w:w="403" w:type="pct"/>
            <w:shd w:val="clear" w:color="auto" w:fill="auto"/>
            <w:vAlign w:val="center"/>
          </w:tcPr>
          <w:p w14:paraId="7327BDEB"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3.9</w:t>
            </w:r>
          </w:p>
        </w:tc>
        <w:tc>
          <w:tcPr>
            <w:tcW w:w="461" w:type="pct"/>
            <w:shd w:val="clear" w:color="auto" w:fill="auto"/>
            <w:vAlign w:val="center"/>
          </w:tcPr>
          <w:p w14:paraId="56ADD363"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0.93</w:t>
            </w:r>
          </w:p>
        </w:tc>
        <w:tc>
          <w:tcPr>
            <w:tcW w:w="399" w:type="pct"/>
            <w:shd w:val="clear" w:color="auto" w:fill="auto"/>
            <w:vAlign w:val="center"/>
          </w:tcPr>
          <w:p w14:paraId="65934FE9" w14:textId="77777777" w:rsidR="00317A4A" w:rsidRPr="00826CE4" w:rsidRDefault="00317A4A" w:rsidP="00C85ED3">
            <w:pPr>
              <w:spacing w:line="192" w:lineRule="auto"/>
              <w:jc w:val="center"/>
              <w:rPr>
                <w:color w:val="000000" w:themeColor="text1"/>
                <w:sz w:val="24"/>
                <w:szCs w:val="24"/>
                <w:rtl/>
              </w:rPr>
            </w:pPr>
            <w:r w:rsidRPr="00826CE4">
              <w:rPr>
                <w:color w:val="000000" w:themeColor="text1"/>
                <w:sz w:val="24"/>
                <w:szCs w:val="24"/>
                <w:rtl/>
              </w:rPr>
              <w:t>الموافقة</w:t>
            </w:r>
          </w:p>
        </w:tc>
        <w:tc>
          <w:tcPr>
            <w:tcW w:w="334" w:type="pct"/>
            <w:shd w:val="clear" w:color="auto" w:fill="auto"/>
            <w:vAlign w:val="center"/>
          </w:tcPr>
          <w:p w14:paraId="5F6D7A67"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5.28</w:t>
            </w:r>
          </w:p>
        </w:tc>
        <w:tc>
          <w:tcPr>
            <w:tcW w:w="637" w:type="pct"/>
            <w:shd w:val="clear" w:color="auto" w:fill="auto"/>
            <w:vAlign w:val="center"/>
          </w:tcPr>
          <w:p w14:paraId="05FDBCAE"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w:t>
            </w:r>
          </w:p>
        </w:tc>
      </w:tr>
      <w:tr w:rsidR="009C4D0A" w:rsidRPr="00826CE4" w14:paraId="5FB9C12B" w14:textId="77777777" w:rsidTr="00C85ED3">
        <w:trPr>
          <w:trHeight w:val="20"/>
          <w:jc w:val="center"/>
        </w:trPr>
        <w:tc>
          <w:tcPr>
            <w:tcW w:w="2766" w:type="pct"/>
          </w:tcPr>
          <w:p w14:paraId="047DA8EF" w14:textId="77777777" w:rsidR="00317A4A" w:rsidRPr="00826CE4" w:rsidRDefault="00317A4A" w:rsidP="00C85ED3">
            <w:pPr>
              <w:pStyle w:val="ListParagraph"/>
              <w:numPr>
                <w:ilvl w:val="0"/>
                <w:numId w:val="17"/>
              </w:numPr>
              <w:spacing w:line="192" w:lineRule="auto"/>
              <w:ind w:left="357" w:hanging="357"/>
              <w:contextualSpacing w:val="0"/>
              <w:jc w:val="lowKashida"/>
              <w:rPr>
                <w:color w:val="000000" w:themeColor="text1"/>
                <w:sz w:val="24"/>
                <w:szCs w:val="24"/>
                <w:rtl/>
                <w:lang w:bidi="ar-EG"/>
              </w:rPr>
            </w:pPr>
            <w:r w:rsidRPr="00826CE4">
              <w:rPr>
                <w:color w:val="000000" w:themeColor="text1"/>
                <w:sz w:val="24"/>
                <w:szCs w:val="24"/>
                <w:rtl/>
              </w:rPr>
              <w:t xml:space="preserve">يؤدى الإفصاح عن المكاسب والخسائر </w:t>
            </w:r>
            <w:proofErr w:type="spellStart"/>
            <w:r w:rsidRPr="00826CE4">
              <w:rPr>
                <w:color w:val="000000" w:themeColor="text1"/>
                <w:sz w:val="24"/>
                <w:szCs w:val="24"/>
                <w:rtl/>
              </w:rPr>
              <w:t>الاكتوارية</w:t>
            </w:r>
            <w:proofErr w:type="spellEnd"/>
            <w:r w:rsidRPr="00826CE4">
              <w:rPr>
                <w:color w:val="000000" w:themeColor="text1"/>
                <w:sz w:val="24"/>
                <w:szCs w:val="24"/>
                <w:rtl/>
              </w:rPr>
              <w:t xml:space="preserve"> على خطط ‏منافع الموظفين إلى زيادة دقة تنبؤات المحللين الماليين.‏</w:t>
            </w:r>
          </w:p>
        </w:tc>
        <w:tc>
          <w:tcPr>
            <w:tcW w:w="403" w:type="pct"/>
            <w:shd w:val="clear" w:color="auto" w:fill="auto"/>
            <w:vAlign w:val="center"/>
          </w:tcPr>
          <w:p w14:paraId="63C68E65"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4.1</w:t>
            </w:r>
          </w:p>
        </w:tc>
        <w:tc>
          <w:tcPr>
            <w:tcW w:w="461" w:type="pct"/>
            <w:shd w:val="clear" w:color="auto" w:fill="auto"/>
            <w:vAlign w:val="center"/>
          </w:tcPr>
          <w:p w14:paraId="5351B406"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0.77</w:t>
            </w:r>
          </w:p>
        </w:tc>
        <w:tc>
          <w:tcPr>
            <w:tcW w:w="399" w:type="pct"/>
            <w:shd w:val="clear" w:color="auto" w:fill="auto"/>
            <w:vAlign w:val="center"/>
          </w:tcPr>
          <w:p w14:paraId="00742346" w14:textId="77777777" w:rsidR="00317A4A" w:rsidRPr="00826CE4" w:rsidRDefault="00317A4A" w:rsidP="00C85ED3">
            <w:pPr>
              <w:spacing w:line="192" w:lineRule="auto"/>
              <w:jc w:val="center"/>
              <w:rPr>
                <w:color w:val="000000" w:themeColor="text1"/>
                <w:sz w:val="24"/>
                <w:szCs w:val="24"/>
                <w:rtl/>
              </w:rPr>
            </w:pPr>
            <w:r w:rsidRPr="00826CE4">
              <w:rPr>
                <w:color w:val="000000" w:themeColor="text1"/>
                <w:sz w:val="24"/>
                <w:szCs w:val="24"/>
                <w:rtl/>
              </w:rPr>
              <w:t>الموافقة</w:t>
            </w:r>
          </w:p>
        </w:tc>
        <w:tc>
          <w:tcPr>
            <w:tcW w:w="334" w:type="pct"/>
            <w:shd w:val="clear" w:color="auto" w:fill="auto"/>
            <w:vAlign w:val="center"/>
          </w:tcPr>
          <w:p w14:paraId="0279E6C9"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9.68</w:t>
            </w:r>
          </w:p>
        </w:tc>
        <w:tc>
          <w:tcPr>
            <w:tcW w:w="637" w:type="pct"/>
            <w:shd w:val="clear" w:color="auto" w:fill="auto"/>
            <w:vAlign w:val="center"/>
          </w:tcPr>
          <w:p w14:paraId="199762E6"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w:t>
            </w:r>
          </w:p>
        </w:tc>
      </w:tr>
      <w:tr w:rsidR="009C4D0A" w:rsidRPr="00826CE4" w14:paraId="260C7752" w14:textId="77777777" w:rsidTr="00C85ED3">
        <w:trPr>
          <w:trHeight w:val="20"/>
          <w:jc w:val="center"/>
        </w:trPr>
        <w:tc>
          <w:tcPr>
            <w:tcW w:w="2766" w:type="pct"/>
            <w:shd w:val="clear" w:color="auto" w:fill="D9D9D9" w:themeFill="background1" w:themeFillShade="D9"/>
          </w:tcPr>
          <w:p w14:paraId="7434753C" w14:textId="798E9436" w:rsidR="00317A4A" w:rsidRPr="00826CE4" w:rsidRDefault="00317A4A" w:rsidP="00C85ED3">
            <w:pPr>
              <w:pStyle w:val="NoSpacing"/>
              <w:spacing w:line="192" w:lineRule="auto"/>
              <w:jc w:val="center"/>
              <w:rPr>
                <w:rFonts w:ascii="Times New Roman" w:hAnsi="Times New Roman" w:cs="Simplified Arabic"/>
                <w:color w:val="000000" w:themeColor="text1"/>
                <w:sz w:val="24"/>
                <w:szCs w:val="24"/>
                <w:rtl/>
                <w:lang w:bidi="ar-EG"/>
              </w:rPr>
            </w:pPr>
            <w:r w:rsidRPr="00826CE4">
              <w:rPr>
                <w:rFonts w:ascii="Times New Roman" w:hAnsi="Times New Roman" w:cs="Simplified Arabic"/>
                <w:color w:val="000000" w:themeColor="text1"/>
                <w:sz w:val="24"/>
                <w:szCs w:val="24"/>
                <w:rtl/>
                <w:lang w:bidi="ar-EG"/>
              </w:rPr>
              <w:t>الإجمالي</w:t>
            </w:r>
          </w:p>
        </w:tc>
        <w:tc>
          <w:tcPr>
            <w:tcW w:w="403" w:type="pct"/>
            <w:shd w:val="clear" w:color="auto" w:fill="D9D9D9" w:themeFill="background1" w:themeFillShade="D9"/>
            <w:vAlign w:val="center"/>
          </w:tcPr>
          <w:p w14:paraId="1B826274"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4</w:t>
            </w:r>
          </w:p>
        </w:tc>
        <w:tc>
          <w:tcPr>
            <w:tcW w:w="461" w:type="pct"/>
            <w:shd w:val="clear" w:color="auto" w:fill="D9D9D9" w:themeFill="background1" w:themeFillShade="D9"/>
            <w:vAlign w:val="center"/>
          </w:tcPr>
          <w:p w14:paraId="7407C618"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0.86</w:t>
            </w:r>
          </w:p>
        </w:tc>
        <w:tc>
          <w:tcPr>
            <w:tcW w:w="399" w:type="pct"/>
            <w:shd w:val="clear" w:color="auto" w:fill="D9D9D9" w:themeFill="background1" w:themeFillShade="D9"/>
            <w:vAlign w:val="center"/>
          </w:tcPr>
          <w:p w14:paraId="69476B45" w14:textId="77777777" w:rsidR="00317A4A" w:rsidRPr="00826CE4" w:rsidRDefault="00317A4A" w:rsidP="00C85ED3">
            <w:pPr>
              <w:spacing w:line="192" w:lineRule="auto"/>
              <w:jc w:val="center"/>
              <w:rPr>
                <w:color w:val="000000" w:themeColor="text1"/>
                <w:sz w:val="24"/>
                <w:szCs w:val="24"/>
                <w:rtl/>
              </w:rPr>
            </w:pPr>
          </w:p>
        </w:tc>
        <w:tc>
          <w:tcPr>
            <w:tcW w:w="334" w:type="pct"/>
            <w:shd w:val="clear" w:color="auto" w:fill="D9D9D9" w:themeFill="background1" w:themeFillShade="D9"/>
            <w:vAlign w:val="center"/>
          </w:tcPr>
          <w:p w14:paraId="73EB2D46" w14:textId="77777777" w:rsidR="00317A4A" w:rsidRPr="00826CE4" w:rsidRDefault="00317A4A" w:rsidP="00C85ED3">
            <w:pPr>
              <w:bidi w:val="0"/>
              <w:spacing w:line="192" w:lineRule="auto"/>
              <w:jc w:val="center"/>
              <w:rPr>
                <w:color w:val="000000" w:themeColor="text1"/>
                <w:sz w:val="24"/>
                <w:szCs w:val="24"/>
                <w:rtl/>
              </w:rPr>
            </w:pPr>
          </w:p>
        </w:tc>
        <w:tc>
          <w:tcPr>
            <w:tcW w:w="637" w:type="pct"/>
            <w:shd w:val="clear" w:color="auto" w:fill="D9D9D9" w:themeFill="background1" w:themeFillShade="D9"/>
            <w:vAlign w:val="center"/>
          </w:tcPr>
          <w:p w14:paraId="2034D642" w14:textId="77777777" w:rsidR="00317A4A" w:rsidRPr="00826CE4" w:rsidRDefault="00317A4A" w:rsidP="00C85ED3">
            <w:pPr>
              <w:bidi w:val="0"/>
              <w:spacing w:line="192" w:lineRule="auto"/>
              <w:jc w:val="center"/>
              <w:rPr>
                <w:color w:val="000000" w:themeColor="text1"/>
                <w:sz w:val="24"/>
                <w:szCs w:val="24"/>
                <w:rtl/>
              </w:rPr>
            </w:pPr>
          </w:p>
        </w:tc>
      </w:tr>
    </w:tbl>
    <w:p w14:paraId="474A5A5B" w14:textId="57A93643" w:rsidR="00317A4A" w:rsidRPr="00E24FBE" w:rsidRDefault="00317A4A" w:rsidP="00C85ED3">
      <w:pPr>
        <w:ind w:firstLine="720"/>
        <w:jc w:val="lowKashida"/>
        <w:rPr>
          <w:color w:val="000000" w:themeColor="text1"/>
          <w:sz w:val="26"/>
          <w:szCs w:val="26"/>
          <w:rtl/>
        </w:rPr>
      </w:pPr>
      <w:r w:rsidRPr="00E24FBE">
        <w:rPr>
          <w:color w:val="000000" w:themeColor="text1"/>
          <w:sz w:val="26"/>
          <w:szCs w:val="26"/>
          <w:rtl/>
        </w:rPr>
        <w:t xml:space="preserve">يتضح من الجدول السابق أن مستوى الدلالة أقل من 0.05 مما يعني وجود دلالة معنوية أي أنه تمت الموافقة على جميع </w:t>
      </w:r>
      <w:r w:rsidRPr="00E24FBE">
        <w:rPr>
          <w:rFonts w:hint="cs"/>
          <w:color w:val="000000" w:themeColor="text1"/>
          <w:sz w:val="26"/>
          <w:szCs w:val="26"/>
          <w:rtl/>
        </w:rPr>
        <w:t xml:space="preserve">العبارات الفرض </w:t>
      </w:r>
      <w:proofErr w:type="spellStart"/>
      <w:r w:rsidRPr="00E24FBE">
        <w:rPr>
          <w:rFonts w:hint="cs"/>
          <w:color w:val="000000" w:themeColor="text1"/>
          <w:sz w:val="26"/>
          <w:szCs w:val="26"/>
          <w:rtl/>
        </w:rPr>
        <w:t>الفرعى</w:t>
      </w:r>
      <w:proofErr w:type="spellEnd"/>
      <w:r w:rsidRPr="00E24FBE">
        <w:rPr>
          <w:rFonts w:hint="cs"/>
          <w:color w:val="000000" w:themeColor="text1"/>
          <w:sz w:val="26"/>
          <w:szCs w:val="26"/>
          <w:rtl/>
        </w:rPr>
        <w:t xml:space="preserve"> الرابع.</w:t>
      </w:r>
    </w:p>
    <w:p w14:paraId="22E9BD7E" w14:textId="18D08BC2" w:rsidR="00317A4A" w:rsidRPr="00826CE4" w:rsidRDefault="00317A4A" w:rsidP="00C85ED3">
      <w:pPr>
        <w:jc w:val="center"/>
        <w:rPr>
          <w:rFonts w:eastAsiaTheme="minorEastAsia"/>
          <w:b/>
          <w:bCs/>
          <w:color w:val="000000" w:themeColor="text1"/>
          <w:sz w:val="26"/>
          <w:szCs w:val="26"/>
          <w:rtl/>
        </w:rPr>
      </w:pPr>
      <w:r w:rsidRPr="00826CE4">
        <w:rPr>
          <w:rFonts w:eastAsiaTheme="minorEastAsia"/>
          <w:b/>
          <w:bCs/>
          <w:color w:val="000000" w:themeColor="text1"/>
          <w:sz w:val="26"/>
          <w:szCs w:val="26"/>
          <w:rtl/>
        </w:rPr>
        <w:t>جدول</w:t>
      </w:r>
      <w:r w:rsidRPr="00826CE4">
        <w:rPr>
          <w:rFonts w:eastAsiaTheme="minorEastAsia" w:hint="cs"/>
          <w:b/>
          <w:bCs/>
          <w:color w:val="000000" w:themeColor="text1"/>
          <w:sz w:val="26"/>
          <w:szCs w:val="26"/>
          <w:rtl/>
        </w:rPr>
        <w:t xml:space="preserve"> رقم</w:t>
      </w:r>
      <w:r w:rsidRPr="00826CE4">
        <w:rPr>
          <w:rFonts w:eastAsiaTheme="minorEastAsia"/>
          <w:b/>
          <w:bCs/>
          <w:color w:val="000000" w:themeColor="text1"/>
          <w:sz w:val="26"/>
          <w:szCs w:val="26"/>
          <w:rtl/>
        </w:rPr>
        <w:t xml:space="preserve"> </w:t>
      </w:r>
      <w:r w:rsidRPr="00826CE4">
        <w:rPr>
          <w:rFonts w:eastAsiaTheme="minorEastAsia" w:hint="cs"/>
          <w:b/>
          <w:bCs/>
          <w:color w:val="000000" w:themeColor="text1"/>
          <w:sz w:val="26"/>
          <w:szCs w:val="26"/>
          <w:rtl/>
        </w:rPr>
        <w:t>(23</w:t>
      </w:r>
      <w:r w:rsidRPr="00826CE4">
        <w:rPr>
          <w:rFonts w:eastAsiaTheme="minorEastAsia"/>
          <w:b/>
          <w:bCs/>
          <w:color w:val="000000" w:themeColor="text1"/>
          <w:sz w:val="26"/>
          <w:szCs w:val="26"/>
          <w:rtl/>
        </w:rPr>
        <w:t>)</w:t>
      </w:r>
    </w:p>
    <w:p w14:paraId="7C17516D" w14:textId="3F821FBA" w:rsidR="00317A4A" w:rsidRPr="00826CE4" w:rsidRDefault="00317A4A" w:rsidP="00C85ED3">
      <w:pPr>
        <w:spacing w:line="192" w:lineRule="auto"/>
        <w:jc w:val="center"/>
        <w:rPr>
          <w:rFonts w:eastAsiaTheme="minorEastAsia"/>
          <w:b/>
          <w:bCs/>
          <w:color w:val="000000" w:themeColor="text1"/>
          <w:sz w:val="26"/>
          <w:szCs w:val="26"/>
          <w:rtl/>
        </w:rPr>
      </w:pPr>
      <w:r w:rsidRPr="00826CE4">
        <w:rPr>
          <w:rFonts w:eastAsiaTheme="minorEastAsia"/>
          <w:b/>
          <w:bCs/>
          <w:color w:val="000000" w:themeColor="text1"/>
          <w:sz w:val="26"/>
          <w:szCs w:val="26"/>
          <w:rtl/>
        </w:rPr>
        <w:t xml:space="preserve">الاحصاء الوصفي لنتائج آراء العينة </w:t>
      </w:r>
      <w:r w:rsidRPr="00826CE4">
        <w:rPr>
          <w:rFonts w:eastAsiaTheme="minorEastAsia" w:hint="cs"/>
          <w:b/>
          <w:bCs/>
          <w:color w:val="000000" w:themeColor="text1"/>
          <w:sz w:val="26"/>
          <w:szCs w:val="26"/>
          <w:rtl/>
        </w:rPr>
        <w:t xml:space="preserve">حول العبارات التي تحدد متغيرات الفرض </w:t>
      </w:r>
      <w:proofErr w:type="spellStart"/>
      <w:r w:rsidRPr="00826CE4">
        <w:rPr>
          <w:rFonts w:eastAsiaTheme="minorEastAsia" w:hint="cs"/>
          <w:b/>
          <w:bCs/>
          <w:color w:val="000000" w:themeColor="text1"/>
          <w:sz w:val="26"/>
          <w:szCs w:val="26"/>
          <w:rtl/>
        </w:rPr>
        <w:t>الفرعى</w:t>
      </w:r>
      <w:proofErr w:type="spellEnd"/>
      <w:r w:rsidRPr="00826CE4">
        <w:rPr>
          <w:rFonts w:eastAsiaTheme="minorEastAsia" w:hint="cs"/>
          <w:b/>
          <w:bCs/>
          <w:color w:val="000000" w:themeColor="text1"/>
          <w:sz w:val="26"/>
          <w:szCs w:val="26"/>
          <w:rtl/>
        </w:rPr>
        <w:t xml:space="preserve"> الخامس</w:t>
      </w:r>
    </w:p>
    <w:tbl>
      <w:tblPr>
        <w:bidiVisual/>
        <w:tblW w:w="5533"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19"/>
        <w:gridCol w:w="721"/>
        <w:gridCol w:w="735"/>
        <w:gridCol w:w="665"/>
        <w:gridCol w:w="696"/>
        <w:gridCol w:w="1101"/>
      </w:tblGrid>
      <w:tr w:rsidR="009C4D0A" w:rsidRPr="00826CE4" w14:paraId="34877AC9" w14:textId="77777777" w:rsidTr="00C85ED3">
        <w:trPr>
          <w:trHeight w:val="20"/>
          <w:tblHeader/>
          <w:jc w:val="center"/>
        </w:trPr>
        <w:tc>
          <w:tcPr>
            <w:tcW w:w="2947" w:type="pct"/>
            <w:shd w:val="thinDiagCross" w:color="D9D9D9" w:themeColor="background1" w:themeShade="D9" w:fill="FFFFFF" w:themeFill="background1"/>
            <w:vAlign w:val="center"/>
            <w:hideMark/>
          </w:tcPr>
          <w:p w14:paraId="259BCDD1" w14:textId="50053ABA" w:rsidR="00317A4A" w:rsidRPr="00826CE4" w:rsidRDefault="00317A4A" w:rsidP="00C85ED3">
            <w:pPr>
              <w:spacing w:line="192" w:lineRule="auto"/>
              <w:ind w:left="-58"/>
              <w:jc w:val="center"/>
              <w:rPr>
                <w:b/>
                <w:bCs/>
                <w:color w:val="000000" w:themeColor="text1"/>
                <w:sz w:val="24"/>
                <w:szCs w:val="24"/>
                <w:rtl/>
                <w:lang w:bidi="ar-EG"/>
              </w:rPr>
            </w:pPr>
            <w:r w:rsidRPr="00826CE4">
              <w:rPr>
                <w:b/>
                <w:bCs/>
                <w:color w:val="000000" w:themeColor="text1"/>
                <w:sz w:val="24"/>
                <w:szCs w:val="24"/>
                <w:rtl/>
              </w:rPr>
              <w:t>العبارات</w:t>
            </w:r>
          </w:p>
        </w:tc>
        <w:tc>
          <w:tcPr>
            <w:tcW w:w="380" w:type="pct"/>
            <w:shd w:val="thinDiagCross" w:color="D9D9D9" w:themeColor="background1" w:themeShade="D9" w:fill="FFFFFF" w:themeFill="background1"/>
            <w:vAlign w:val="center"/>
            <w:hideMark/>
          </w:tcPr>
          <w:p w14:paraId="65339148" w14:textId="77777777" w:rsidR="00317A4A" w:rsidRPr="00826CE4" w:rsidRDefault="00317A4A" w:rsidP="00C85ED3">
            <w:pPr>
              <w:spacing w:line="192" w:lineRule="auto"/>
              <w:ind w:left="-58"/>
              <w:jc w:val="center"/>
              <w:rPr>
                <w:b/>
                <w:bCs/>
                <w:color w:val="000000" w:themeColor="text1"/>
                <w:sz w:val="24"/>
                <w:szCs w:val="24"/>
                <w:rtl/>
              </w:rPr>
            </w:pPr>
            <w:r w:rsidRPr="00826CE4">
              <w:rPr>
                <w:b/>
                <w:bCs/>
                <w:color w:val="000000" w:themeColor="text1"/>
                <w:sz w:val="24"/>
                <w:szCs w:val="24"/>
                <w:rtl/>
              </w:rPr>
              <w:t>المتوسط المرجح</w:t>
            </w:r>
          </w:p>
        </w:tc>
        <w:tc>
          <w:tcPr>
            <w:tcW w:w="387" w:type="pct"/>
            <w:shd w:val="thinDiagCross" w:color="D9D9D9" w:themeColor="background1" w:themeShade="D9" w:fill="FFFFFF" w:themeFill="background1"/>
            <w:vAlign w:val="center"/>
            <w:hideMark/>
          </w:tcPr>
          <w:p w14:paraId="06596681" w14:textId="77777777" w:rsidR="00317A4A" w:rsidRPr="00826CE4" w:rsidRDefault="00317A4A" w:rsidP="00C85ED3">
            <w:pPr>
              <w:spacing w:line="192" w:lineRule="auto"/>
              <w:ind w:left="-58"/>
              <w:jc w:val="center"/>
              <w:rPr>
                <w:b/>
                <w:bCs/>
                <w:color w:val="000000" w:themeColor="text1"/>
                <w:sz w:val="24"/>
                <w:szCs w:val="24"/>
                <w:rtl/>
              </w:rPr>
            </w:pPr>
            <w:r w:rsidRPr="00826CE4">
              <w:rPr>
                <w:b/>
                <w:bCs/>
                <w:color w:val="000000" w:themeColor="text1"/>
                <w:sz w:val="24"/>
                <w:szCs w:val="24"/>
                <w:rtl/>
              </w:rPr>
              <w:t>الانحراف المعياري</w:t>
            </w:r>
          </w:p>
        </w:tc>
        <w:tc>
          <w:tcPr>
            <w:tcW w:w="350" w:type="pct"/>
            <w:shd w:val="thinDiagCross" w:color="D9D9D9" w:themeColor="background1" w:themeShade="D9" w:fill="FFFFFF" w:themeFill="background1"/>
            <w:vAlign w:val="center"/>
            <w:hideMark/>
          </w:tcPr>
          <w:p w14:paraId="2EBE1332" w14:textId="77777777" w:rsidR="00317A4A" w:rsidRPr="00826CE4" w:rsidRDefault="00317A4A" w:rsidP="00C85ED3">
            <w:pPr>
              <w:spacing w:line="192" w:lineRule="auto"/>
              <w:ind w:left="-58"/>
              <w:jc w:val="center"/>
              <w:rPr>
                <w:b/>
                <w:bCs/>
                <w:color w:val="000000" w:themeColor="text1"/>
                <w:sz w:val="24"/>
                <w:szCs w:val="24"/>
                <w:rtl/>
              </w:rPr>
            </w:pPr>
            <w:r w:rsidRPr="00826CE4">
              <w:rPr>
                <w:b/>
                <w:bCs/>
                <w:color w:val="000000" w:themeColor="text1"/>
                <w:sz w:val="24"/>
                <w:szCs w:val="24"/>
                <w:rtl/>
              </w:rPr>
              <w:t>درجة الموافقة</w:t>
            </w:r>
          </w:p>
        </w:tc>
        <w:tc>
          <w:tcPr>
            <w:tcW w:w="356" w:type="pct"/>
            <w:shd w:val="thinDiagCross" w:color="D9D9D9" w:themeColor="background1" w:themeShade="D9" w:fill="FFFFFF" w:themeFill="background1"/>
            <w:vAlign w:val="center"/>
            <w:hideMark/>
          </w:tcPr>
          <w:p w14:paraId="4CF31EB5" w14:textId="77777777" w:rsidR="00317A4A" w:rsidRPr="00826CE4" w:rsidRDefault="00317A4A" w:rsidP="00C85ED3">
            <w:pPr>
              <w:spacing w:line="192" w:lineRule="auto"/>
              <w:ind w:left="-58"/>
              <w:jc w:val="center"/>
              <w:rPr>
                <w:b/>
                <w:bCs/>
                <w:color w:val="000000" w:themeColor="text1"/>
                <w:sz w:val="24"/>
                <w:szCs w:val="24"/>
                <w:rtl/>
              </w:rPr>
            </w:pPr>
            <w:r w:rsidRPr="00826CE4">
              <w:rPr>
                <w:b/>
                <w:bCs/>
                <w:color w:val="000000" w:themeColor="text1"/>
                <w:sz w:val="24"/>
                <w:szCs w:val="24"/>
                <w:rtl/>
              </w:rPr>
              <w:t>قيمة t</w:t>
            </w:r>
          </w:p>
        </w:tc>
        <w:tc>
          <w:tcPr>
            <w:tcW w:w="579" w:type="pct"/>
            <w:shd w:val="thinDiagCross" w:color="D9D9D9" w:themeColor="background1" w:themeShade="D9" w:fill="FFFFFF" w:themeFill="background1"/>
            <w:vAlign w:val="center"/>
            <w:hideMark/>
          </w:tcPr>
          <w:p w14:paraId="25EDF2C7" w14:textId="77777777" w:rsidR="00317A4A" w:rsidRPr="00826CE4" w:rsidRDefault="00317A4A" w:rsidP="00C85ED3">
            <w:pPr>
              <w:spacing w:line="192" w:lineRule="auto"/>
              <w:ind w:left="-58"/>
              <w:jc w:val="center"/>
              <w:rPr>
                <w:b/>
                <w:bCs/>
                <w:color w:val="000000" w:themeColor="text1"/>
                <w:sz w:val="24"/>
                <w:szCs w:val="24"/>
                <w:rtl/>
              </w:rPr>
            </w:pPr>
            <w:r w:rsidRPr="00826CE4">
              <w:rPr>
                <w:b/>
                <w:bCs/>
                <w:color w:val="000000" w:themeColor="text1"/>
                <w:sz w:val="24"/>
                <w:szCs w:val="24"/>
                <w:rtl/>
              </w:rPr>
              <w:t xml:space="preserve">مستوى الدلالة </w:t>
            </w:r>
            <w:proofErr w:type="spellStart"/>
            <w:r w:rsidRPr="00826CE4">
              <w:rPr>
                <w:b/>
                <w:bCs/>
                <w:color w:val="000000" w:themeColor="text1"/>
                <w:sz w:val="24"/>
                <w:szCs w:val="24"/>
                <w:rtl/>
              </w:rPr>
              <w:t>Sig</w:t>
            </w:r>
            <w:proofErr w:type="spellEnd"/>
            <w:r w:rsidRPr="00826CE4">
              <w:rPr>
                <w:b/>
                <w:bCs/>
                <w:color w:val="000000" w:themeColor="text1"/>
                <w:sz w:val="24"/>
                <w:szCs w:val="24"/>
                <w:rtl/>
              </w:rPr>
              <w:t>.</w:t>
            </w:r>
          </w:p>
        </w:tc>
      </w:tr>
      <w:tr w:rsidR="009C4D0A" w:rsidRPr="00826CE4" w14:paraId="5A97430B" w14:textId="77777777" w:rsidTr="00C85ED3">
        <w:trPr>
          <w:trHeight w:val="20"/>
          <w:jc w:val="center"/>
        </w:trPr>
        <w:tc>
          <w:tcPr>
            <w:tcW w:w="2947" w:type="pct"/>
          </w:tcPr>
          <w:p w14:paraId="4C7E373A" w14:textId="77777777" w:rsidR="00317A4A" w:rsidRPr="00826CE4" w:rsidRDefault="00317A4A" w:rsidP="00C85ED3">
            <w:pPr>
              <w:pStyle w:val="ListParagraph"/>
              <w:numPr>
                <w:ilvl w:val="0"/>
                <w:numId w:val="18"/>
              </w:numPr>
              <w:spacing w:line="192" w:lineRule="auto"/>
              <w:ind w:left="261" w:hanging="261"/>
              <w:contextualSpacing w:val="0"/>
              <w:jc w:val="lowKashida"/>
              <w:rPr>
                <w:color w:val="000000" w:themeColor="text1"/>
                <w:sz w:val="24"/>
                <w:szCs w:val="24"/>
                <w:rtl/>
                <w:lang w:bidi="ar-EG"/>
              </w:rPr>
            </w:pPr>
            <w:r w:rsidRPr="00826CE4">
              <w:rPr>
                <w:color w:val="000000" w:themeColor="text1"/>
                <w:sz w:val="24"/>
                <w:szCs w:val="24"/>
                <w:rtl/>
              </w:rPr>
              <w:t>يعتبر الإفصاح عن التغيرات الناتجة عن إعادة تقييم الأصول ‏مؤشراً على التغيرات في قيم الأصول والتي ترتبط بشكل ‏مباشر بالقيمة السوقية التي يمكن قياسها وفقاً لمفهوم القيمة ‏العادلة.‏</w:t>
            </w:r>
          </w:p>
        </w:tc>
        <w:tc>
          <w:tcPr>
            <w:tcW w:w="380" w:type="pct"/>
            <w:shd w:val="clear" w:color="auto" w:fill="auto"/>
            <w:vAlign w:val="center"/>
          </w:tcPr>
          <w:p w14:paraId="21198D7B"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4.2</w:t>
            </w:r>
          </w:p>
        </w:tc>
        <w:tc>
          <w:tcPr>
            <w:tcW w:w="387" w:type="pct"/>
            <w:shd w:val="clear" w:color="auto" w:fill="auto"/>
            <w:vAlign w:val="center"/>
          </w:tcPr>
          <w:p w14:paraId="6C556041"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0.73</w:t>
            </w:r>
          </w:p>
        </w:tc>
        <w:tc>
          <w:tcPr>
            <w:tcW w:w="350" w:type="pct"/>
            <w:shd w:val="clear" w:color="auto" w:fill="auto"/>
            <w:vAlign w:val="center"/>
          </w:tcPr>
          <w:p w14:paraId="225A7CC6" w14:textId="77777777" w:rsidR="00317A4A" w:rsidRPr="00826CE4" w:rsidRDefault="00317A4A" w:rsidP="00C85ED3">
            <w:pPr>
              <w:spacing w:line="192" w:lineRule="auto"/>
              <w:jc w:val="center"/>
              <w:rPr>
                <w:color w:val="000000" w:themeColor="text1"/>
                <w:sz w:val="24"/>
                <w:szCs w:val="24"/>
                <w:rtl/>
              </w:rPr>
            </w:pPr>
            <w:r w:rsidRPr="00826CE4">
              <w:rPr>
                <w:color w:val="000000" w:themeColor="text1"/>
                <w:sz w:val="24"/>
                <w:szCs w:val="24"/>
                <w:rtl/>
              </w:rPr>
              <w:t xml:space="preserve">الموافقة </w:t>
            </w:r>
            <w:r w:rsidRPr="00826CE4">
              <w:rPr>
                <w:rFonts w:hint="cs"/>
                <w:color w:val="000000" w:themeColor="text1"/>
                <w:sz w:val="24"/>
                <w:szCs w:val="24"/>
                <w:rtl/>
              </w:rPr>
              <w:t>تماما</w:t>
            </w:r>
          </w:p>
        </w:tc>
        <w:tc>
          <w:tcPr>
            <w:tcW w:w="356" w:type="pct"/>
            <w:shd w:val="clear" w:color="auto" w:fill="auto"/>
            <w:vAlign w:val="center"/>
          </w:tcPr>
          <w:p w14:paraId="047185C9"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11.22</w:t>
            </w:r>
          </w:p>
        </w:tc>
        <w:tc>
          <w:tcPr>
            <w:tcW w:w="579" w:type="pct"/>
            <w:shd w:val="clear" w:color="auto" w:fill="auto"/>
            <w:vAlign w:val="center"/>
          </w:tcPr>
          <w:p w14:paraId="122618EF"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w:t>
            </w:r>
          </w:p>
        </w:tc>
      </w:tr>
      <w:tr w:rsidR="009C4D0A" w:rsidRPr="00826CE4" w14:paraId="5997852B" w14:textId="77777777" w:rsidTr="00C85ED3">
        <w:trPr>
          <w:trHeight w:val="20"/>
          <w:jc w:val="center"/>
        </w:trPr>
        <w:tc>
          <w:tcPr>
            <w:tcW w:w="2947" w:type="pct"/>
          </w:tcPr>
          <w:p w14:paraId="77F3DC01" w14:textId="77777777" w:rsidR="00317A4A" w:rsidRPr="00826CE4" w:rsidRDefault="00317A4A" w:rsidP="00C85ED3">
            <w:pPr>
              <w:pStyle w:val="ListParagraph"/>
              <w:numPr>
                <w:ilvl w:val="0"/>
                <w:numId w:val="18"/>
              </w:numPr>
              <w:spacing w:line="192" w:lineRule="auto"/>
              <w:ind w:left="261" w:hanging="261"/>
              <w:contextualSpacing w:val="0"/>
              <w:jc w:val="lowKashida"/>
              <w:rPr>
                <w:color w:val="000000" w:themeColor="text1"/>
                <w:sz w:val="24"/>
                <w:szCs w:val="24"/>
                <w:rtl/>
                <w:lang w:bidi="ar-EG"/>
              </w:rPr>
            </w:pPr>
            <w:r w:rsidRPr="00826CE4">
              <w:rPr>
                <w:color w:val="000000" w:themeColor="text1"/>
                <w:sz w:val="24"/>
                <w:szCs w:val="24"/>
                <w:rtl/>
              </w:rPr>
              <w:t>المنشآت ذات المستويات الأعلى من الديون لديها دوافع قوية ‏لإعادة تقييم الأصول الثابتة صعوداً لتخفيف القيود على ‏الديون ومن ثم تجنب عقبات السداد وإعادة التفاوض.‏</w:t>
            </w:r>
          </w:p>
        </w:tc>
        <w:tc>
          <w:tcPr>
            <w:tcW w:w="380" w:type="pct"/>
            <w:shd w:val="clear" w:color="auto" w:fill="auto"/>
            <w:vAlign w:val="center"/>
          </w:tcPr>
          <w:p w14:paraId="614BF87D"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2.5</w:t>
            </w:r>
          </w:p>
        </w:tc>
        <w:tc>
          <w:tcPr>
            <w:tcW w:w="387" w:type="pct"/>
            <w:shd w:val="clear" w:color="auto" w:fill="auto"/>
            <w:vAlign w:val="center"/>
          </w:tcPr>
          <w:p w14:paraId="3A88C36E"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1.1</w:t>
            </w:r>
          </w:p>
        </w:tc>
        <w:tc>
          <w:tcPr>
            <w:tcW w:w="350" w:type="pct"/>
            <w:shd w:val="clear" w:color="auto" w:fill="auto"/>
            <w:vAlign w:val="center"/>
          </w:tcPr>
          <w:p w14:paraId="2BBE1BA5" w14:textId="77777777" w:rsidR="00317A4A" w:rsidRPr="00826CE4" w:rsidRDefault="00317A4A" w:rsidP="00C85ED3">
            <w:pPr>
              <w:spacing w:line="192" w:lineRule="auto"/>
              <w:jc w:val="center"/>
              <w:rPr>
                <w:color w:val="000000" w:themeColor="text1"/>
                <w:sz w:val="24"/>
                <w:szCs w:val="24"/>
                <w:rtl/>
              </w:rPr>
            </w:pPr>
            <w:r w:rsidRPr="00826CE4">
              <w:rPr>
                <w:rFonts w:hint="cs"/>
                <w:color w:val="000000" w:themeColor="text1"/>
                <w:sz w:val="24"/>
                <w:szCs w:val="24"/>
                <w:rtl/>
              </w:rPr>
              <w:t xml:space="preserve">عدم </w:t>
            </w:r>
            <w:r w:rsidRPr="00826CE4">
              <w:rPr>
                <w:color w:val="000000" w:themeColor="text1"/>
                <w:sz w:val="24"/>
                <w:szCs w:val="24"/>
                <w:rtl/>
              </w:rPr>
              <w:t>الموافقة</w:t>
            </w:r>
          </w:p>
        </w:tc>
        <w:tc>
          <w:tcPr>
            <w:tcW w:w="356" w:type="pct"/>
            <w:shd w:val="clear" w:color="auto" w:fill="auto"/>
            <w:vAlign w:val="center"/>
          </w:tcPr>
          <w:p w14:paraId="373743C3"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5.49</w:t>
            </w:r>
          </w:p>
        </w:tc>
        <w:tc>
          <w:tcPr>
            <w:tcW w:w="579" w:type="pct"/>
            <w:shd w:val="clear" w:color="auto" w:fill="auto"/>
            <w:vAlign w:val="center"/>
          </w:tcPr>
          <w:p w14:paraId="5E2F59DE"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w:t>
            </w:r>
          </w:p>
        </w:tc>
      </w:tr>
      <w:tr w:rsidR="009C4D0A" w:rsidRPr="00826CE4" w14:paraId="543A0D67" w14:textId="77777777" w:rsidTr="00C85ED3">
        <w:trPr>
          <w:trHeight w:val="20"/>
          <w:jc w:val="center"/>
        </w:trPr>
        <w:tc>
          <w:tcPr>
            <w:tcW w:w="2947" w:type="pct"/>
          </w:tcPr>
          <w:p w14:paraId="24DCB590" w14:textId="77777777" w:rsidR="00317A4A" w:rsidRPr="00826CE4" w:rsidRDefault="00317A4A" w:rsidP="00C85ED3">
            <w:pPr>
              <w:pStyle w:val="ListParagraph"/>
              <w:numPr>
                <w:ilvl w:val="0"/>
                <w:numId w:val="18"/>
              </w:numPr>
              <w:spacing w:line="192" w:lineRule="auto"/>
              <w:ind w:left="261" w:hanging="261"/>
              <w:contextualSpacing w:val="0"/>
              <w:jc w:val="lowKashida"/>
              <w:rPr>
                <w:color w:val="000000" w:themeColor="text1"/>
                <w:spacing w:val="-4"/>
                <w:sz w:val="24"/>
                <w:szCs w:val="24"/>
                <w:rtl/>
                <w:lang w:bidi="ar-EG"/>
              </w:rPr>
            </w:pPr>
            <w:r w:rsidRPr="00826CE4">
              <w:rPr>
                <w:color w:val="000000" w:themeColor="text1"/>
                <w:spacing w:val="-4"/>
                <w:sz w:val="24"/>
                <w:szCs w:val="24"/>
                <w:rtl/>
              </w:rPr>
              <w:t>يمكن للمنشأة التي لديها احتياطيات نقدية منخفضة وأوراق ‏مالية قابلة للتداول أن تستخدم عمليات إعادة التقييم للحد من ‏عدم تماثل المعلومات والاشارة الى أن أصول المنشأة مقيمة ‏بأقل من قيمتها الحقيقية.‏</w:t>
            </w:r>
          </w:p>
        </w:tc>
        <w:tc>
          <w:tcPr>
            <w:tcW w:w="380" w:type="pct"/>
            <w:shd w:val="clear" w:color="auto" w:fill="auto"/>
            <w:vAlign w:val="center"/>
          </w:tcPr>
          <w:p w14:paraId="422E2137"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2.4</w:t>
            </w:r>
          </w:p>
        </w:tc>
        <w:tc>
          <w:tcPr>
            <w:tcW w:w="387" w:type="pct"/>
            <w:shd w:val="clear" w:color="auto" w:fill="auto"/>
            <w:vAlign w:val="center"/>
          </w:tcPr>
          <w:p w14:paraId="7EBD14E4"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1.09</w:t>
            </w:r>
          </w:p>
        </w:tc>
        <w:tc>
          <w:tcPr>
            <w:tcW w:w="350" w:type="pct"/>
            <w:shd w:val="clear" w:color="auto" w:fill="auto"/>
            <w:vAlign w:val="center"/>
          </w:tcPr>
          <w:p w14:paraId="36D76DD5" w14:textId="77777777" w:rsidR="00317A4A" w:rsidRPr="00826CE4" w:rsidRDefault="00317A4A" w:rsidP="00C85ED3">
            <w:pPr>
              <w:spacing w:line="192" w:lineRule="auto"/>
              <w:jc w:val="center"/>
              <w:rPr>
                <w:color w:val="000000" w:themeColor="text1"/>
                <w:sz w:val="24"/>
                <w:szCs w:val="24"/>
                <w:rtl/>
              </w:rPr>
            </w:pPr>
            <w:r w:rsidRPr="00826CE4">
              <w:rPr>
                <w:rFonts w:hint="cs"/>
                <w:color w:val="000000" w:themeColor="text1"/>
                <w:sz w:val="24"/>
                <w:szCs w:val="24"/>
                <w:rtl/>
              </w:rPr>
              <w:t xml:space="preserve">عدم </w:t>
            </w:r>
            <w:r w:rsidRPr="00826CE4">
              <w:rPr>
                <w:color w:val="000000" w:themeColor="text1"/>
                <w:sz w:val="24"/>
                <w:szCs w:val="24"/>
                <w:rtl/>
              </w:rPr>
              <w:t>الموافقة</w:t>
            </w:r>
          </w:p>
        </w:tc>
        <w:tc>
          <w:tcPr>
            <w:tcW w:w="356" w:type="pct"/>
            <w:shd w:val="clear" w:color="auto" w:fill="auto"/>
            <w:vAlign w:val="center"/>
          </w:tcPr>
          <w:p w14:paraId="019D59BA"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2.02</w:t>
            </w:r>
          </w:p>
        </w:tc>
        <w:tc>
          <w:tcPr>
            <w:tcW w:w="579" w:type="pct"/>
            <w:shd w:val="clear" w:color="auto" w:fill="auto"/>
            <w:vAlign w:val="center"/>
          </w:tcPr>
          <w:p w14:paraId="0C87E3C7"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cs/>
              </w:rPr>
              <w:t>‎</w:t>
            </w:r>
            <w:r w:rsidRPr="00826CE4">
              <w:rPr>
                <w:color w:val="000000" w:themeColor="text1"/>
                <w:sz w:val="24"/>
                <w:szCs w:val="24"/>
                <w:rtl/>
              </w:rPr>
              <w:t>.026</w:t>
            </w:r>
            <w:r w:rsidRPr="00826CE4">
              <w:rPr>
                <w:color w:val="000000" w:themeColor="text1"/>
                <w:sz w:val="24"/>
                <w:szCs w:val="24"/>
                <w:rtl/>
                <w:cs/>
              </w:rPr>
              <w:t>‎</w:t>
            </w:r>
          </w:p>
        </w:tc>
      </w:tr>
      <w:tr w:rsidR="009C4D0A" w:rsidRPr="00826CE4" w14:paraId="578B9F9F" w14:textId="77777777" w:rsidTr="00C85ED3">
        <w:trPr>
          <w:trHeight w:val="20"/>
          <w:jc w:val="center"/>
        </w:trPr>
        <w:tc>
          <w:tcPr>
            <w:tcW w:w="2947" w:type="pct"/>
          </w:tcPr>
          <w:p w14:paraId="52211207" w14:textId="77777777" w:rsidR="00317A4A" w:rsidRPr="00826CE4" w:rsidRDefault="00317A4A" w:rsidP="00C85ED3">
            <w:pPr>
              <w:pStyle w:val="ListParagraph"/>
              <w:numPr>
                <w:ilvl w:val="0"/>
                <w:numId w:val="18"/>
              </w:numPr>
              <w:spacing w:line="192" w:lineRule="auto"/>
              <w:ind w:left="261" w:hanging="261"/>
              <w:contextualSpacing w:val="0"/>
              <w:jc w:val="lowKashida"/>
              <w:rPr>
                <w:color w:val="000000" w:themeColor="text1"/>
                <w:sz w:val="24"/>
                <w:szCs w:val="24"/>
                <w:rtl/>
                <w:lang w:bidi="ar-EG"/>
              </w:rPr>
            </w:pPr>
            <w:r w:rsidRPr="00826CE4">
              <w:rPr>
                <w:color w:val="000000" w:themeColor="text1"/>
                <w:sz w:val="24"/>
                <w:szCs w:val="24"/>
                <w:rtl/>
              </w:rPr>
              <w:t>يقدم الإفصاح عن التغيرات في فائض إعادة تقييم الأصول ‏الثابتة معلومات دقيقة عن العائد على حقوق الملكية.‏</w:t>
            </w:r>
          </w:p>
        </w:tc>
        <w:tc>
          <w:tcPr>
            <w:tcW w:w="380" w:type="pct"/>
            <w:shd w:val="clear" w:color="auto" w:fill="auto"/>
            <w:vAlign w:val="center"/>
          </w:tcPr>
          <w:p w14:paraId="59BD8463"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3.9</w:t>
            </w:r>
          </w:p>
        </w:tc>
        <w:tc>
          <w:tcPr>
            <w:tcW w:w="387" w:type="pct"/>
            <w:shd w:val="clear" w:color="auto" w:fill="auto"/>
            <w:vAlign w:val="center"/>
          </w:tcPr>
          <w:p w14:paraId="568CAEBE"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0.86</w:t>
            </w:r>
          </w:p>
        </w:tc>
        <w:tc>
          <w:tcPr>
            <w:tcW w:w="350" w:type="pct"/>
            <w:shd w:val="clear" w:color="auto" w:fill="auto"/>
            <w:vAlign w:val="center"/>
          </w:tcPr>
          <w:p w14:paraId="6E1894A0" w14:textId="77777777" w:rsidR="00317A4A" w:rsidRPr="00826CE4" w:rsidRDefault="00317A4A" w:rsidP="00C85ED3">
            <w:pPr>
              <w:spacing w:line="192" w:lineRule="auto"/>
              <w:jc w:val="center"/>
              <w:rPr>
                <w:color w:val="000000" w:themeColor="text1"/>
                <w:sz w:val="24"/>
                <w:szCs w:val="24"/>
                <w:rtl/>
              </w:rPr>
            </w:pPr>
            <w:r w:rsidRPr="00826CE4">
              <w:rPr>
                <w:color w:val="000000" w:themeColor="text1"/>
                <w:sz w:val="24"/>
                <w:szCs w:val="24"/>
                <w:rtl/>
              </w:rPr>
              <w:t>الموافقة</w:t>
            </w:r>
          </w:p>
        </w:tc>
        <w:tc>
          <w:tcPr>
            <w:tcW w:w="356" w:type="pct"/>
            <w:shd w:val="clear" w:color="auto" w:fill="auto"/>
            <w:vAlign w:val="center"/>
          </w:tcPr>
          <w:p w14:paraId="400AA3A7"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6.62</w:t>
            </w:r>
          </w:p>
        </w:tc>
        <w:tc>
          <w:tcPr>
            <w:tcW w:w="579" w:type="pct"/>
            <w:shd w:val="clear" w:color="auto" w:fill="auto"/>
            <w:vAlign w:val="center"/>
          </w:tcPr>
          <w:p w14:paraId="73351C4D" w14:textId="77777777" w:rsidR="00317A4A" w:rsidRPr="00826CE4" w:rsidRDefault="00317A4A" w:rsidP="00C85ED3">
            <w:pPr>
              <w:bidi w:val="0"/>
              <w:spacing w:line="192" w:lineRule="auto"/>
              <w:jc w:val="center"/>
              <w:rPr>
                <w:rFonts w:asciiTheme="majorBidi" w:hAnsiTheme="majorBidi"/>
                <w:color w:val="000000" w:themeColor="text1"/>
                <w:sz w:val="24"/>
                <w:szCs w:val="24"/>
                <w:rtl/>
              </w:rPr>
            </w:pPr>
            <w:r w:rsidRPr="00826CE4">
              <w:rPr>
                <w:rFonts w:asciiTheme="majorBidi" w:hAnsiTheme="majorBidi"/>
                <w:color w:val="000000" w:themeColor="text1"/>
                <w:sz w:val="24"/>
                <w:szCs w:val="24"/>
                <w:rtl/>
              </w:rPr>
              <w:t>0</w:t>
            </w:r>
          </w:p>
        </w:tc>
      </w:tr>
      <w:tr w:rsidR="009C4D0A" w:rsidRPr="00826CE4" w14:paraId="25D9308E" w14:textId="77777777" w:rsidTr="00C85ED3">
        <w:trPr>
          <w:trHeight w:val="20"/>
          <w:jc w:val="center"/>
        </w:trPr>
        <w:tc>
          <w:tcPr>
            <w:tcW w:w="2947" w:type="pct"/>
          </w:tcPr>
          <w:p w14:paraId="22777519" w14:textId="77777777" w:rsidR="00317A4A" w:rsidRPr="00C85ED3" w:rsidRDefault="00317A4A" w:rsidP="00C85ED3">
            <w:pPr>
              <w:pStyle w:val="ListParagraph"/>
              <w:numPr>
                <w:ilvl w:val="0"/>
                <w:numId w:val="18"/>
              </w:numPr>
              <w:spacing w:line="192" w:lineRule="auto"/>
              <w:ind w:left="261" w:hanging="261"/>
              <w:contextualSpacing w:val="0"/>
              <w:jc w:val="lowKashida"/>
              <w:rPr>
                <w:color w:val="000000" w:themeColor="text1"/>
                <w:spacing w:val="-8"/>
                <w:sz w:val="24"/>
                <w:szCs w:val="24"/>
                <w:rtl/>
                <w:lang w:bidi="ar-EG"/>
              </w:rPr>
            </w:pPr>
            <w:r w:rsidRPr="00C85ED3">
              <w:rPr>
                <w:color w:val="000000" w:themeColor="text1"/>
                <w:spacing w:val="-8"/>
                <w:sz w:val="24"/>
                <w:szCs w:val="24"/>
                <w:rtl/>
              </w:rPr>
              <w:t>يقلل الإفصاح عن التغيرات في فائض إعادة التقييم من نسبة ‏الرافعة المالية.‏</w:t>
            </w:r>
          </w:p>
        </w:tc>
        <w:tc>
          <w:tcPr>
            <w:tcW w:w="380" w:type="pct"/>
            <w:shd w:val="clear" w:color="auto" w:fill="auto"/>
            <w:vAlign w:val="center"/>
          </w:tcPr>
          <w:p w14:paraId="5BD40DDB"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3.9</w:t>
            </w:r>
          </w:p>
        </w:tc>
        <w:tc>
          <w:tcPr>
            <w:tcW w:w="387" w:type="pct"/>
            <w:shd w:val="clear" w:color="auto" w:fill="auto"/>
            <w:vAlign w:val="center"/>
          </w:tcPr>
          <w:p w14:paraId="7124793A"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0.86</w:t>
            </w:r>
          </w:p>
        </w:tc>
        <w:tc>
          <w:tcPr>
            <w:tcW w:w="350" w:type="pct"/>
            <w:shd w:val="clear" w:color="auto" w:fill="auto"/>
            <w:vAlign w:val="center"/>
          </w:tcPr>
          <w:p w14:paraId="1F4B8AC7" w14:textId="77777777" w:rsidR="00317A4A" w:rsidRPr="00826CE4" w:rsidRDefault="00317A4A" w:rsidP="00C85ED3">
            <w:pPr>
              <w:spacing w:line="192" w:lineRule="auto"/>
              <w:jc w:val="center"/>
              <w:rPr>
                <w:color w:val="000000" w:themeColor="text1"/>
                <w:sz w:val="24"/>
                <w:szCs w:val="24"/>
                <w:rtl/>
              </w:rPr>
            </w:pPr>
            <w:r w:rsidRPr="00826CE4">
              <w:rPr>
                <w:color w:val="000000" w:themeColor="text1"/>
                <w:sz w:val="24"/>
                <w:szCs w:val="24"/>
                <w:rtl/>
              </w:rPr>
              <w:t>الموافقة</w:t>
            </w:r>
          </w:p>
        </w:tc>
        <w:tc>
          <w:tcPr>
            <w:tcW w:w="356" w:type="pct"/>
            <w:shd w:val="clear" w:color="auto" w:fill="auto"/>
            <w:vAlign w:val="center"/>
          </w:tcPr>
          <w:p w14:paraId="3017AC91"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6.1</w:t>
            </w:r>
          </w:p>
        </w:tc>
        <w:tc>
          <w:tcPr>
            <w:tcW w:w="579" w:type="pct"/>
            <w:shd w:val="clear" w:color="auto" w:fill="auto"/>
            <w:vAlign w:val="center"/>
          </w:tcPr>
          <w:p w14:paraId="1743F9F7" w14:textId="77777777" w:rsidR="00317A4A" w:rsidRPr="00826CE4" w:rsidRDefault="00317A4A" w:rsidP="00C85ED3">
            <w:pPr>
              <w:bidi w:val="0"/>
              <w:spacing w:line="192" w:lineRule="auto"/>
              <w:jc w:val="center"/>
              <w:rPr>
                <w:rFonts w:asciiTheme="majorBidi" w:hAnsiTheme="majorBidi"/>
                <w:color w:val="000000" w:themeColor="text1"/>
                <w:sz w:val="24"/>
                <w:szCs w:val="24"/>
                <w:rtl/>
              </w:rPr>
            </w:pPr>
            <w:r w:rsidRPr="00826CE4">
              <w:rPr>
                <w:rFonts w:asciiTheme="majorBidi" w:hAnsiTheme="majorBidi"/>
                <w:color w:val="000000" w:themeColor="text1"/>
                <w:sz w:val="24"/>
                <w:szCs w:val="24"/>
                <w:rtl/>
              </w:rPr>
              <w:t>0</w:t>
            </w:r>
          </w:p>
        </w:tc>
      </w:tr>
      <w:tr w:rsidR="009C4D0A" w:rsidRPr="00826CE4" w14:paraId="127261C3" w14:textId="77777777" w:rsidTr="00C85ED3">
        <w:trPr>
          <w:trHeight w:val="20"/>
          <w:jc w:val="center"/>
        </w:trPr>
        <w:tc>
          <w:tcPr>
            <w:tcW w:w="2947" w:type="pct"/>
          </w:tcPr>
          <w:p w14:paraId="1828776D" w14:textId="77777777" w:rsidR="00317A4A" w:rsidRPr="00C85ED3" w:rsidRDefault="00317A4A" w:rsidP="00C85ED3">
            <w:pPr>
              <w:pStyle w:val="ListParagraph"/>
              <w:numPr>
                <w:ilvl w:val="0"/>
                <w:numId w:val="18"/>
              </w:numPr>
              <w:spacing w:line="192" w:lineRule="auto"/>
              <w:ind w:left="261" w:hanging="261"/>
              <w:contextualSpacing w:val="0"/>
              <w:jc w:val="lowKashida"/>
              <w:rPr>
                <w:color w:val="000000" w:themeColor="text1"/>
                <w:spacing w:val="-8"/>
                <w:sz w:val="24"/>
                <w:szCs w:val="24"/>
                <w:rtl/>
                <w:lang w:bidi="ar-EG"/>
              </w:rPr>
            </w:pPr>
            <w:r w:rsidRPr="00C85ED3">
              <w:rPr>
                <w:color w:val="000000" w:themeColor="text1"/>
                <w:spacing w:val="-8"/>
                <w:sz w:val="24"/>
                <w:szCs w:val="24"/>
                <w:rtl/>
              </w:rPr>
              <w:t>يؤدى الإفصاح عن فائض إعادة تقييم الأصول الثابتة وغير ‏الملموسة إلى زيادة منفعة القوائم المالية وقابليتها للمقارنة، ‏ومن ثم زيادة سعر سهم المنشأة.‏</w:t>
            </w:r>
          </w:p>
        </w:tc>
        <w:tc>
          <w:tcPr>
            <w:tcW w:w="380" w:type="pct"/>
            <w:shd w:val="clear" w:color="auto" w:fill="auto"/>
            <w:vAlign w:val="center"/>
          </w:tcPr>
          <w:p w14:paraId="637A6125"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4</w:t>
            </w:r>
          </w:p>
        </w:tc>
        <w:tc>
          <w:tcPr>
            <w:tcW w:w="387" w:type="pct"/>
            <w:shd w:val="clear" w:color="auto" w:fill="auto"/>
            <w:vAlign w:val="center"/>
          </w:tcPr>
          <w:p w14:paraId="68EDAC65"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0.81</w:t>
            </w:r>
          </w:p>
        </w:tc>
        <w:tc>
          <w:tcPr>
            <w:tcW w:w="350" w:type="pct"/>
            <w:shd w:val="clear" w:color="auto" w:fill="auto"/>
            <w:vAlign w:val="center"/>
          </w:tcPr>
          <w:p w14:paraId="00FB8460" w14:textId="77777777" w:rsidR="00317A4A" w:rsidRPr="00826CE4" w:rsidRDefault="00317A4A" w:rsidP="00C85ED3">
            <w:pPr>
              <w:spacing w:line="192" w:lineRule="auto"/>
              <w:jc w:val="center"/>
              <w:rPr>
                <w:color w:val="000000" w:themeColor="text1"/>
                <w:sz w:val="24"/>
                <w:szCs w:val="24"/>
                <w:rtl/>
              </w:rPr>
            </w:pPr>
            <w:r w:rsidRPr="00826CE4">
              <w:rPr>
                <w:color w:val="000000" w:themeColor="text1"/>
                <w:sz w:val="24"/>
                <w:szCs w:val="24"/>
                <w:rtl/>
              </w:rPr>
              <w:t>الموافقة</w:t>
            </w:r>
          </w:p>
        </w:tc>
        <w:tc>
          <w:tcPr>
            <w:tcW w:w="356" w:type="pct"/>
            <w:shd w:val="clear" w:color="auto" w:fill="auto"/>
            <w:vAlign w:val="center"/>
          </w:tcPr>
          <w:p w14:paraId="4C11F6A5"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8.18</w:t>
            </w:r>
          </w:p>
        </w:tc>
        <w:tc>
          <w:tcPr>
            <w:tcW w:w="579" w:type="pct"/>
            <w:shd w:val="clear" w:color="auto" w:fill="auto"/>
            <w:vAlign w:val="center"/>
          </w:tcPr>
          <w:p w14:paraId="682FF261" w14:textId="77777777" w:rsidR="00317A4A" w:rsidRPr="00826CE4" w:rsidRDefault="00317A4A" w:rsidP="00C85ED3">
            <w:pPr>
              <w:bidi w:val="0"/>
              <w:spacing w:line="192" w:lineRule="auto"/>
              <w:jc w:val="center"/>
              <w:rPr>
                <w:rFonts w:asciiTheme="majorBidi" w:hAnsiTheme="majorBidi"/>
                <w:color w:val="000000" w:themeColor="text1"/>
                <w:sz w:val="24"/>
                <w:szCs w:val="24"/>
                <w:rtl/>
              </w:rPr>
            </w:pPr>
            <w:r w:rsidRPr="00826CE4">
              <w:rPr>
                <w:rFonts w:asciiTheme="majorBidi" w:hAnsiTheme="majorBidi"/>
                <w:color w:val="000000" w:themeColor="text1"/>
                <w:sz w:val="24"/>
                <w:szCs w:val="24"/>
                <w:rtl/>
              </w:rPr>
              <w:t>0</w:t>
            </w:r>
          </w:p>
        </w:tc>
      </w:tr>
      <w:tr w:rsidR="009C4D0A" w:rsidRPr="00826CE4" w14:paraId="4E001AD3" w14:textId="77777777" w:rsidTr="00C85ED3">
        <w:trPr>
          <w:trHeight w:val="20"/>
          <w:jc w:val="center"/>
        </w:trPr>
        <w:tc>
          <w:tcPr>
            <w:tcW w:w="2947" w:type="pct"/>
            <w:shd w:val="clear" w:color="auto" w:fill="D9D9D9" w:themeFill="background1" w:themeFillShade="D9"/>
          </w:tcPr>
          <w:p w14:paraId="491D263E" w14:textId="5B9CF958" w:rsidR="00317A4A" w:rsidRPr="00826CE4" w:rsidRDefault="00317A4A" w:rsidP="00C85ED3">
            <w:pPr>
              <w:pStyle w:val="NoSpacing"/>
              <w:spacing w:line="192" w:lineRule="auto"/>
              <w:jc w:val="center"/>
              <w:rPr>
                <w:rFonts w:ascii="Times New Roman" w:hAnsi="Times New Roman" w:cs="Simplified Arabic"/>
                <w:color w:val="000000" w:themeColor="text1"/>
                <w:sz w:val="24"/>
                <w:szCs w:val="24"/>
                <w:rtl/>
                <w:lang w:bidi="ar-EG"/>
              </w:rPr>
            </w:pPr>
            <w:r w:rsidRPr="00826CE4">
              <w:rPr>
                <w:rFonts w:ascii="Times New Roman" w:hAnsi="Times New Roman" w:cs="Simplified Arabic"/>
                <w:color w:val="000000" w:themeColor="text1"/>
                <w:sz w:val="24"/>
                <w:szCs w:val="24"/>
                <w:rtl/>
                <w:lang w:bidi="ar-EG"/>
              </w:rPr>
              <w:t>الإجمالي</w:t>
            </w:r>
          </w:p>
        </w:tc>
        <w:tc>
          <w:tcPr>
            <w:tcW w:w="380" w:type="pct"/>
            <w:shd w:val="clear" w:color="auto" w:fill="D9D9D9" w:themeFill="background1" w:themeFillShade="D9"/>
            <w:vAlign w:val="center"/>
          </w:tcPr>
          <w:p w14:paraId="7E50FF66"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3.9</w:t>
            </w:r>
          </w:p>
        </w:tc>
        <w:tc>
          <w:tcPr>
            <w:tcW w:w="387" w:type="pct"/>
            <w:shd w:val="clear" w:color="auto" w:fill="D9D9D9" w:themeFill="background1" w:themeFillShade="D9"/>
            <w:vAlign w:val="center"/>
          </w:tcPr>
          <w:p w14:paraId="0462D4F5" w14:textId="77777777" w:rsidR="00317A4A" w:rsidRPr="00826CE4" w:rsidRDefault="00317A4A" w:rsidP="00C85ED3">
            <w:pPr>
              <w:bidi w:val="0"/>
              <w:spacing w:line="192" w:lineRule="auto"/>
              <w:jc w:val="center"/>
              <w:rPr>
                <w:color w:val="000000" w:themeColor="text1"/>
                <w:sz w:val="24"/>
                <w:szCs w:val="24"/>
                <w:rtl/>
              </w:rPr>
            </w:pPr>
            <w:r w:rsidRPr="00826CE4">
              <w:rPr>
                <w:color w:val="000000" w:themeColor="text1"/>
                <w:sz w:val="24"/>
                <w:szCs w:val="24"/>
                <w:rtl/>
              </w:rPr>
              <w:t>0.85</w:t>
            </w:r>
          </w:p>
        </w:tc>
        <w:tc>
          <w:tcPr>
            <w:tcW w:w="350" w:type="pct"/>
            <w:shd w:val="clear" w:color="auto" w:fill="D9D9D9" w:themeFill="background1" w:themeFillShade="D9"/>
            <w:vAlign w:val="center"/>
          </w:tcPr>
          <w:p w14:paraId="5E9079DE" w14:textId="77777777" w:rsidR="00317A4A" w:rsidRPr="00826CE4" w:rsidRDefault="00317A4A" w:rsidP="00C85ED3">
            <w:pPr>
              <w:spacing w:line="192" w:lineRule="auto"/>
              <w:jc w:val="center"/>
              <w:rPr>
                <w:b/>
                <w:bCs/>
                <w:color w:val="000000" w:themeColor="text1"/>
                <w:sz w:val="24"/>
                <w:szCs w:val="24"/>
                <w:rtl/>
              </w:rPr>
            </w:pPr>
          </w:p>
        </w:tc>
        <w:tc>
          <w:tcPr>
            <w:tcW w:w="356" w:type="pct"/>
            <w:shd w:val="clear" w:color="auto" w:fill="D9D9D9" w:themeFill="background1" w:themeFillShade="D9"/>
            <w:vAlign w:val="center"/>
          </w:tcPr>
          <w:p w14:paraId="67A022B2" w14:textId="77777777" w:rsidR="00317A4A" w:rsidRPr="00826CE4" w:rsidRDefault="00317A4A" w:rsidP="00C85ED3">
            <w:pPr>
              <w:bidi w:val="0"/>
              <w:spacing w:line="192" w:lineRule="auto"/>
              <w:jc w:val="center"/>
              <w:rPr>
                <w:b/>
                <w:bCs/>
                <w:color w:val="000000" w:themeColor="text1"/>
                <w:sz w:val="24"/>
                <w:szCs w:val="24"/>
                <w:rtl/>
              </w:rPr>
            </w:pPr>
          </w:p>
        </w:tc>
        <w:tc>
          <w:tcPr>
            <w:tcW w:w="579" w:type="pct"/>
            <w:shd w:val="clear" w:color="auto" w:fill="D9D9D9" w:themeFill="background1" w:themeFillShade="D9"/>
            <w:vAlign w:val="center"/>
          </w:tcPr>
          <w:p w14:paraId="055FF9D5" w14:textId="77777777" w:rsidR="00317A4A" w:rsidRPr="00826CE4" w:rsidRDefault="00317A4A" w:rsidP="00C85ED3">
            <w:pPr>
              <w:bidi w:val="0"/>
              <w:spacing w:line="192" w:lineRule="auto"/>
              <w:jc w:val="center"/>
              <w:rPr>
                <w:b/>
                <w:bCs/>
                <w:color w:val="000000" w:themeColor="text1"/>
                <w:sz w:val="24"/>
                <w:szCs w:val="24"/>
                <w:rtl/>
              </w:rPr>
            </w:pPr>
          </w:p>
        </w:tc>
      </w:tr>
    </w:tbl>
    <w:p w14:paraId="7511DE33" w14:textId="51DB3DC7" w:rsidR="00317A4A" w:rsidRPr="00E24FBE" w:rsidRDefault="00317A4A" w:rsidP="00C24E42">
      <w:pPr>
        <w:ind w:firstLine="720"/>
        <w:jc w:val="lowKashida"/>
        <w:rPr>
          <w:color w:val="000000" w:themeColor="text1"/>
          <w:sz w:val="26"/>
          <w:szCs w:val="26"/>
          <w:rtl/>
        </w:rPr>
      </w:pPr>
      <w:r w:rsidRPr="00E24FBE">
        <w:rPr>
          <w:color w:val="000000" w:themeColor="text1"/>
          <w:sz w:val="26"/>
          <w:szCs w:val="26"/>
          <w:rtl/>
        </w:rPr>
        <w:lastRenderedPageBreak/>
        <w:t xml:space="preserve">يتضح من الجدول السابق أن مستوى الدلالة أقل من 0.05 مما يعني وجود دلالة معنوية أي أنه تمت الموافقة </w:t>
      </w:r>
      <w:r w:rsidRPr="00E24FBE">
        <w:rPr>
          <w:rFonts w:hint="cs"/>
          <w:color w:val="000000" w:themeColor="text1"/>
          <w:sz w:val="26"/>
          <w:szCs w:val="26"/>
          <w:rtl/>
        </w:rPr>
        <w:t xml:space="preserve">والموافقة تماما وعدم الموافقة </w:t>
      </w:r>
      <w:r w:rsidRPr="00E24FBE">
        <w:rPr>
          <w:color w:val="000000" w:themeColor="text1"/>
          <w:sz w:val="26"/>
          <w:szCs w:val="26"/>
          <w:rtl/>
        </w:rPr>
        <w:t xml:space="preserve">على جميع </w:t>
      </w:r>
      <w:r w:rsidRPr="00E24FBE">
        <w:rPr>
          <w:rFonts w:hint="cs"/>
          <w:color w:val="000000" w:themeColor="text1"/>
          <w:sz w:val="26"/>
          <w:szCs w:val="26"/>
          <w:rtl/>
        </w:rPr>
        <w:t xml:space="preserve">العبارات الفرض </w:t>
      </w:r>
      <w:proofErr w:type="spellStart"/>
      <w:r w:rsidRPr="00E24FBE">
        <w:rPr>
          <w:rFonts w:hint="cs"/>
          <w:color w:val="000000" w:themeColor="text1"/>
          <w:sz w:val="26"/>
          <w:szCs w:val="26"/>
          <w:rtl/>
        </w:rPr>
        <w:t>الفرعى</w:t>
      </w:r>
      <w:proofErr w:type="spellEnd"/>
      <w:r w:rsidRPr="00E24FBE">
        <w:rPr>
          <w:rFonts w:hint="cs"/>
          <w:color w:val="000000" w:themeColor="text1"/>
          <w:sz w:val="26"/>
          <w:szCs w:val="26"/>
          <w:rtl/>
        </w:rPr>
        <w:t xml:space="preserve"> الخامس.</w:t>
      </w:r>
    </w:p>
    <w:p w14:paraId="3E18D7F5" w14:textId="6349DC7B" w:rsidR="00317A4A" w:rsidRPr="00A3386F" w:rsidRDefault="00317A4A" w:rsidP="00C85ED3">
      <w:pPr>
        <w:spacing w:line="192" w:lineRule="auto"/>
        <w:ind w:right="-284"/>
        <w:jc w:val="center"/>
        <w:rPr>
          <w:rFonts w:eastAsiaTheme="minorEastAsia"/>
          <w:b/>
          <w:bCs/>
          <w:color w:val="000000" w:themeColor="text1"/>
          <w:sz w:val="26"/>
          <w:szCs w:val="26"/>
          <w:rtl/>
        </w:rPr>
      </w:pPr>
      <w:r w:rsidRPr="00A3386F">
        <w:rPr>
          <w:rFonts w:eastAsiaTheme="minorEastAsia"/>
          <w:b/>
          <w:bCs/>
          <w:color w:val="000000" w:themeColor="text1"/>
          <w:sz w:val="26"/>
          <w:szCs w:val="26"/>
          <w:rtl/>
        </w:rPr>
        <w:t xml:space="preserve">جدول رقم </w:t>
      </w:r>
      <w:r w:rsidRPr="00A3386F">
        <w:rPr>
          <w:rFonts w:eastAsiaTheme="minorEastAsia" w:hint="cs"/>
          <w:b/>
          <w:bCs/>
          <w:color w:val="000000" w:themeColor="text1"/>
          <w:sz w:val="26"/>
          <w:szCs w:val="26"/>
          <w:rtl/>
        </w:rPr>
        <w:t>(26</w:t>
      </w:r>
      <w:r w:rsidRPr="00A3386F">
        <w:rPr>
          <w:rFonts w:eastAsiaTheme="minorEastAsia"/>
          <w:b/>
          <w:bCs/>
          <w:color w:val="000000" w:themeColor="text1"/>
          <w:sz w:val="26"/>
          <w:szCs w:val="26"/>
          <w:rtl/>
        </w:rPr>
        <w:t>)</w:t>
      </w:r>
      <w:r w:rsidRPr="00A3386F">
        <w:rPr>
          <w:rFonts w:eastAsiaTheme="minorEastAsia" w:hint="cs"/>
          <w:b/>
          <w:bCs/>
          <w:color w:val="000000" w:themeColor="text1"/>
          <w:sz w:val="26"/>
          <w:szCs w:val="26"/>
          <w:rtl/>
        </w:rPr>
        <w:t>:</w:t>
      </w:r>
      <w:r w:rsidRPr="00A3386F">
        <w:rPr>
          <w:rFonts w:eastAsiaTheme="minorEastAsia"/>
          <w:b/>
          <w:bCs/>
          <w:color w:val="000000" w:themeColor="text1"/>
          <w:sz w:val="26"/>
          <w:szCs w:val="26"/>
          <w:rtl/>
        </w:rPr>
        <w:t xml:space="preserve"> نتائج تحليل </w:t>
      </w:r>
      <w:r w:rsidRPr="00A3386F">
        <w:rPr>
          <w:rFonts w:eastAsiaTheme="minorEastAsia" w:hint="cs"/>
          <w:b/>
          <w:bCs/>
          <w:color w:val="000000" w:themeColor="text1"/>
          <w:sz w:val="26"/>
          <w:szCs w:val="26"/>
          <w:rtl/>
        </w:rPr>
        <w:t>الارتباط</w:t>
      </w:r>
      <w:r w:rsidRPr="00A3386F">
        <w:rPr>
          <w:rFonts w:eastAsiaTheme="minorEastAsia"/>
          <w:b/>
          <w:bCs/>
          <w:color w:val="000000" w:themeColor="text1"/>
          <w:sz w:val="26"/>
          <w:szCs w:val="26"/>
          <w:rtl/>
        </w:rPr>
        <w:t xml:space="preserve"> الخطى البسيط للفرض </w:t>
      </w:r>
      <w:r w:rsidRPr="00A3386F">
        <w:rPr>
          <w:rFonts w:eastAsiaTheme="minorEastAsia" w:hint="cs"/>
          <w:b/>
          <w:bCs/>
          <w:color w:val="000000" w:themeColor="text1"/>
          <w:sz w:val="26"/>
          <w:szCs w:val="26"/>
          <w:rtl/>
        </w:rPr>
        <w:t xml:space="preserve">الرئيسي الثاني </w:t>
      </w:r>
      <w:r w:rsidRPr="00A3386F">
        <w:rPr>
          <w:rFonts w:eastAsiaTheme="minorEastAsia"/>
          <w:b/>
          <w:bCs/>
          <w:color w:val="000000" w:themeColor="text1"/>
          <w:sz w:val="26"/>
          <w:szCs w:val="26"/>
          <w:rtl/>
        </w:rPr>
        <w:t xml:space="preserve">نتائج معامل ارتباط </w:t>
      </w:r>
      <w:proofErr w:type="spellStart"/>
      <w:r w:rsidRPr="00A3386F">
        <w:rPr>
          <w:rFonts w:eastAsiaTheme="minorEastAsia"/>
          <w:b/>
          <w:bCs/>
          <w:color w:val="000000" w:themeColor="text1"/>
          <w:sz w:val="26"/>
          <w:szCs w:val="26"/>
          <w:rtl/>
        </w:rPr>
        <w:t>سبيرمان</w:t>
      </w:r>
      <w:proofErr w:type="spellEnd"/>
      <w:r w:rsidRPr="00A3386F">
        <w:rPr>
          <w:rFonts w:eastAsiaTheme="minorEastAsia"/>
          <w:b/>
          <w:bCs/>
          <w:color w:val="000000" w:themeColor="text1"/>
          <w:sz w:val="26"/>
          <w:szCs w:val="26"/>
          <w:rtl/>
        </w:rPr>
        <w:t xml:space="preserve"> </w:t>
      </w:r>
      <w:r w:rsidR="00874903" w:rsidRPr="00A3386F">
        <w:rPr>
          <w:rFonts w:eastAsiaTheme="minorEastAsia" w:hint="cs"/>
          <w:b/>
          <w:bCs/>
          <w:color w:val="000000" w:themeColor="text1"/>
          <w:sz w:val="26"/>
          <w:szCs w:val="26"/>
          <w:rtl/>
        </w:rPr>
        <w:t xml:space="preserve"> </w:t>
      </w:r>
      <w:r w:rsidRPr="00A3386F">
        <w:rPr>
          <w:rFonts w:eastAsiaTheme="minorEastAsia" w:hint="cs"/>
          <w:b/>
          <w:bCs/>
          <w:color w:val="000000" w:themeColor="text1"/>
          <w:sz w:val="26"/>
          <w:szCs w:val="26"/>
          <w:rtl/>
        </w:rPr>
        <w:t xml:space="preserve"> </w:t>
      </w:r>
    </w:p>
    <w:tbl>
      <w:tblPr>
        <w:bidiVisual/>
        <w:tblW w:w="5000" w:type="pct"/>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629"/>
        <w:gridCol w:w="919"/>
        <w:gridCol w:w="1741"/>
        <w:gridCol w:w="1332"/>
        <w:gridCol w:w="1099"/>
      </w:tblGrid>
      <w:tr w:rsidR="009C4D0A" w:rsidRPr="00A3386F" w14:paraId="5776AB68" w14:textId="77777777" w:rsidTr="00A3386F">
        <w:trPr>
          <w:tblHeader/>
        </w:trPr>
        <w:tc>
          <w:tcPr>
            <w:tcW w:w="2080" w:type="pct"/>
            <w:shd w:val="thinDiagCross" w:color="D9D9D9" w:themeColor="background1" w:themeShade="D9" w:fill="FFFFFF" w:themeFill="background1"/>
            <w:vAlign w:val="center"/>
          </w:tcPr>
          <w:p w14:paraId="5A21B834" w14:textId="77777777" w:rsidR="00317A4A" w:rsidRPr="00A3386F" w:rsidRDefault="00317A4A" w:rsidP="00C85ED3">
            <w:pPr>
              <w:spacing w:line="180" w:lineRule="auto"/>
              <w:jc w:val="center"/>
              <w:rPr>
                <w:rFonts w:eastAsiaTheme="minorEastAsia"/>
                <w:b/>
                <w:bCs/>
                <w:color w:val="000000" w:themeColor="text1"/>
                <w:sz w:val="26"/>
                <w:szCs w:val="26"/>
                <w:rtl/>
              </w:rPr>
            </w:pPr>
            <w:r w:rsidRPr="00A3386F">
              <w:rPr>
                <w:rFonts w:eastAsiaTheme="minorEastAsia"/>
                <w:b/>
                <w:bCs/>
                <w:color w:val="000000" w:themeColor="text1"/>
                <w:sz w:val="26"/>
                <w:szCs w:val="26"/>
                <w:rtl/>
              </w:rPr>
              <w:t>العلاقات بين المتغيرات</w:t>
            </w:r>
          </w:p>
        </w:tc>
        <w:tc>
          <w:tcPr>
            <w:tcW w:w="527" w:type="pct"/>
            <w:shd w:val="thinDiagCross" w:color="D9D9D9" w:themeColor="background1" w:themeShade="D9" w:fill="FFFFFF" w:themeFill="background1"/>
            <w:vAlign w:val="center"/>
          </w:tcPr>
          <w:p w14:paraId="5AA499CD" w14:textId="77777777" w:rsidR="00317A4A" w:rsidRPr="00A3386F" w:rsidRDefault="00317A4A" w:rsidP="00C85ED3">
            <w:pPr>
              <w:spacing w:line="180" w:lineRule="auto"/>
              <w:jc w:val="center"/>
              <w:rPr>
                <w:rFonts w:eastAsiaTheme="minorEastAsia"/>
                <w:b/>
                <w:bCs/>
                <w:color w:val="000000" w:themeColor="text1"/>
                <w:sz w:val="26"/>
                <w:szCs w:val="26"/>
                <w:rtl/>
              </w:rPr>
            </w:pPr>
            <w:r w:rsidRPr="00A3386F">
              <w:rPr>
                <w:rFonts w:eastAsiaTheme="minorEastAsia"/>
                <w:b/>
                <w:bCs/>
                <w:color w:val="000000" w:themeColor="text1"/>
                <w:sz w:val="26"/>
                <w:szCs w:val="26"/>
                <w:rtl/>
              </w:rPr>
              <w:t>معامل الارتباط</w:t>
            </w:r>
          </w:p>
        </w:tc>
        <w:tc>
          <w:tcPr>
            <w:tcW w:w="998" w:type="pct"/>
            <w:shd w:val="thinDiagCross" w:color="D9D9D9" w:themeColor="background1" w:themeShade="D9" w:fill="FFFFFF" w:themeFill="background1"/>
            <w:vAlign w:val="center"/>
          </w:tcPr>
          <w:p w14:paraId="77AD316D" w14:textId="77777777" w:rsidR="00317A4A" w:rsidRPr="00A3386F" w:rsidRDefault="00317A4A" w:rsidP="00C85ED3">
            <w:pPr>
              <w:spacing w:line="180" w:lineRule="auto"/>
              <w:jc w:val="center"/>
              <w:rPr>
                <w:rFonts w:eastAsiaTheme="minorEastAsia"/>
                <w:b/>
                <w:bCs/>
                <w:color w:val="000000" w:themeColor="text1"/>
                <w:sz w:val="26"/>
                <w:szCs w:val="26"/>
                <w:rtl/>
              </w:rPr>
            </w:pPr>
            <w:r w:rsidRPr="00A3386F">
              <w:rPr>
                <w:rFonts w:eastAsiaTheme="minorEastAsia"/>
                <w:b/>
                <w:bCs/>
                <w:color w:val="000000" w:themeColor="text1"/>
                <w:sz w:val="26"/>
                <w:szCs w:val="26"/>
                <w:rtl/>
              </w:rPr>
              <w:t>التفسير</w:t>
            </w:r>
          </w:p>
        </w:tc>
        <w:tc>
          <w:tcPr>
            <w:tcW w:w="764" w:type="pct"/>
            <w:shd w:val="thinDiagCross" w:color="D9D9D9" w:themeColor="background1" w:themeShade="D9" w:fill="FFFFFF" w:themeFill="background1"/>
            <w:vAlign w:val="center"/>
          </w:tcPr>
          <w:p w14:paraId="4A4E0846" w14:textId="77777777" w:rsidR="00317A4A" w:rsidRPr="00A3386F" w:rsidRDefault="00317A4A" w:rsidP="00C85ED3">
            <w:pPr>
              <w:spacing w:line="180" w:lineRule="auto"/>
              <w:jc w:val="center"/>
              <w:rPr>
                <w:rFonts w:eastAsiaTheme="minorEastAsia"/>
                <w:b/>
                <w:bCs/>
                <w:color w:val="000000" w:themeColor="text1"/>
                <w:sz w:val="26"/>
                <w:szCs w:val="26"/>
                <w:rtl/>
              </w:rPr>
            </w:pPr>
            <w:r w:rsidRPr="00A3386F">
              <w:rPr>
                <w:rFonts w:eastAsiaTheme="minorEastAsia"/>
                <w:b/>
                <w:bCs/>
                <w:color w:val="000000" w:themeColor="text1"/>
                <w:sz w:val="26"/>
                <w:szCs w:val="26"/>
                <w:rtl/>
              </w:rPr>
              <w:t xml:space="preserve">مستوى الدلالة </w:t>
            </w:r>
            <w:proofErr w:type="spellStart"/>
            <w:r w:rsidRPr="00A3386F">
              <w:rPr>
                <w:rFonts w:eastAsiaTheme="minorEastAsia"/>
                <w:b/>
                <w:bCs/>
                <w:color w:val="000000" w:themeColor="text1"/>
                <w:sz w:val="26"/>
                <w:szCs w:val="26"/>
                <w:rtl/>
              </w:rPr>
              <w:t>Sig</w:t>
            </w:r>
            <w:proofErr w:type="spellEnd"/>
            <w:r w:rsidRPr="00A3386F">
              <w:rPr>
                <w:rFonts w:eastAsiaTheme="minorEastAsia"/>
                <w:b/>
                <w:bCs/>
                <w:color w:val="000000" w:themeColor="text1"/>
                <w:sz w:val="26"/>
                <w:szCs w:val="26"/>
                <w:rtl/>
              </w:rPr>
              <w:t>.</w:t>
            </w:r>
          </w:p>
        </w:tc>
        <w:tc>
          <w:tcPr>
            <w:tcW w:w="630" w:type="pct"/>
            <w:shd w:val="thinDiagCross" w:color="D9D9D9" w:themeColor="background1" w:themeShade="D9" w:fill="FFFFFF" w:themeFill="background1"/>
            <w:vAlign w:val="center"/>
          </w:tcPr>
          <w:p w14:paraId="2EA05201" w14:textId="77777777" w:rsidR="00317A4A" w:rsidRPr="00A3386F" w:rsidRDefault="00317A4A" w:rsidP="00C85ED3">
            <w:pPr>
              <w:spacing w:line="180" w:lineRule="auto"/>
              <w:jc w:val="center"/>
              <w:rPr>
                <w:rFonts w:eastAsiaTheme="minorEastAsia"/>
                <w:b/>
                <w:bCs/>
                <w:color w:val="000000" w:themeColor="text1"/>
                <w:sz w:val="26"/>
                <w:szCs w:val="26"/>
                <w:rtl/>
              </w:rPr>
            </w:pPr>
            <w:r w:rsidRPr="00A3386F">
              <w:rPr>
                <w:rFonts w:eastAsiaTheme="minorEastAsia"/>
                <w:b/>
                <w:bCs/>
                <w:color w:val="000000" w:themeColor="text1"/>
                <w:sz w:val="26"/>
                <w:szCs w:val="26"/>
                <w:rtl/>
              </w:rPr>
              <w:t>مدى المعنوية</w:t>
            </w:r>
          </w:p>
        </w:tc>
      </w:tr>
      <w:tr w:rsidR="009C4D0A" w:rsidRPr="00A3386F" w14:paraId="24032853" w14:textId="77777777" w:rsidTr="00A3386F">
        <w:trPr>
          <w:trHeight w:val="559"/>
        </w:trPr>
        <w:tc>
          <w:tcPr>
            <w:tcW w:w="2080" w:type="pct"/>
            <w:shd w:val="clear" w:color="auto" w:fill="auto"/>
            <w:vAlign w:val="center"/>
          </w:tcPr>
          <w:p w14:paraId="7E9A93B6" w14:textId="77777777" w:rsidR="00317A4A" w:rsidRPr="00A3386F" w:rsidRDefault="00317A4A" w:rsidP="00C85ED3">
            <w:pPr>
              <w:spacing w:line="180" w:lineRule="auto"/>
              <w:jc w:val="center"/>
              <w:rPr>
                <w:rFonts w:eastAsiaTheme="minorEastAsia"/>
                <w:color w:val="000000" w:themeColor="text1"/>
                <w:sz w:val="26"/>
                <w:szCs w:val="26"/>
                <w:rtl/>
              </w:rPr>
            </w:pPr>
            <w:r w:rsidRPr="00A3386F">
              <w:rPr>
                <w:rFonts w:eastAsiaTheme="minorEastAsia" w:hint="cs"/>
                <w:color w:val="000000" w:themeColor="text1"/>
                <w:sz w:val="26"/>
                <w:szCs w:val="26"/>
                <w:rtl/>
              </w:rPr>
              <w:t>الإفصاح المحاسبي عن بنود الدخل الشامل وسلوك أسعار الأسهم.</w:t>
            </w:r>
          </w:p>
        </w:tc>
        <w:tc>
          <w:tcPr>
            <w:tcW w:w="527" w:type="pct"/>
            <w:shd w:val="clear" w:color="auto" w:fill="auto"/>
            <w:vAlign w:val="center"/>
          </w:tcPr>
          <w:p w14:paraId="0B21B2A5" w14:textId="77777777" w:rsidR="00317A4A" w:rsidRPr="00A3386F" w:rsidRDefault="00317A4A" w:rsidP="00C85ED3">
            <w:pPr>
              <w:spacing w:line="180" w:lineRule="auto"/>
              <w:jc w:val="center"/>
              <w:rPr>
                <w:rFonts w:eastAsiaTheme="minorEastAsia"/>
                <w:color w:val="000000" w:themeColor="text1"/>
                <w:sz w:val="26"/>
                <w:szCs w:val="26"/>
                <w:rtl/>
              </w:rPr>
            </w:pPr>
            <w:r w:rsidRPr="00A3386F">
              <w:rPr>
                <w:rFonts w:eastAsiaTheme="minorEastAsia"/>
                <w:color w:val="000000" w:themeColor="text1"/>
                <w:sz w:val="26"/>
                <w:szCs w:val="26"/>
                <w:rtl/>
              </w:rPr>
              <w:t>0.72</w:t>
            </w:r>
          </w:p>
        </w:tc>
        <w:tc>
          <w:tcPr>
            <w:tcW w:w="998" w:type="pct"/>
            <w:shd w:val="clear" w:color="auto" w:fill="auto"/>
            <w:vAlign w:val="center"/>
          </w:tcPr>
          <w:p w14:paraId="26CF0B6E" w14:textId="77777777" w:rsidR="00317A4A" w:rsidRPr="00A3386F" w:rsidRDefault="00317A4A" w:rsidP="00C85ED3">
            <w:pPr>
              <w:spacing w:line="180" w:lineRule="auto"/>
              <w:jc w:val="center"/>
              <w:rPr>
                <w:rFonts w:eastAsiaTheme="minorEastAsia"/>
                <w:color w:val="000000" w:themeColor="text1"/>
                <w:sz w:val="26"/>
                <w:szCs w:val="26"/>
                <w:rtl/>
              </w:rPr>
            </w:pPr>
            <w:r w:rsidRPr="00A3386F">
              <w:rPr>
                <w:rFonts w:eastAsiaTheme="minorEastAsia" w:hint="cs"/>
                <w:color w:val="000000" w:themeColor="text1"/>
                <w:sz w:val="26"/>
                <w:szCs w:val="26"/>
                <w:rtl/>
              </w:rPr>
              <w:t>يوجد علاقة طردية متوسطة</w:t>
            </w:r>
          </w:p>
        </w:tc>
        <w:tc>
          <w:tcPr>
            <w:tcW w:w="764" w:type="pct"/>
            <w:shd w:val="clear" w:color="auto" w:fill="auto"/>
            <w:vAlign w:val="center"/>
          </w:tcPr>
          <w:p w14:paraId="6FF64A3C" w14:textId="77777777" w:rsidR="00317A4A" w:rsidRPr="00A3386F" w:rsidRDefault="00317A4A" w:rsidP="00C85ED3">
            <w:pPr>
              <w:spacing w:line="180" w:lineRule="auto"/>
              <w:jc w:val="center"/>
              <w:rPr>
                <w:rFonts w:eastAsiaTheme="minorEastAsia"/>
                <w:color w:val="000000" w:themeColor="text1"/>
                <w:sz w:val="26"/>
                <w:szCs w:val="26"/>
                <w:rtl/>
              </w:rPr>
            </w:pPr>
            <w:r w:rsidRPr="00A3386F">
              <w:rPr>
                <w:rFonts w:eastAsiaTheme="minorEastAsia"/>
                <w:color w:val="000000" w:themeColor="text1"/>
                <w:sz w:val="26"/>
                <w:szCs w:val="26"/>
                <w:rtl/>
              </w:rPr>
              <w:t>0</w:t>
            </w:r>
          </w:p>
        </w:tc>
        <w:tc>
          <w:tcPr>
            <w:tcW w:w="630" w:type="pct"/>
            <w:shd w:val="clear" w:color="auto" w:fill="auto"/>
            <w:vAlign w:val="center"/>
          </w:tcPr>
          <w:p w14:paraId="568AC061" w14:textId="77777777" w:rsidR="00317A4A" w:rsidRPr="00A3386F" w:rsidRDefault="00317A4A" w:rsidP="00C85ED3">
            <w:pPr>
              <w:spacing w:line="180" w:lineRule="auto"/>
              <w:jc w:val="center"/>
              <w:rPr>
                <w:rFonts w:eastAsiaTheme="minorEastAsia"/>
                <w:color w:val="000000" w:themeColor="text1"/>
                <w:sz w:val="26"/>
                <w:szCs w:val="26"/>
                <w:rtl/>
              </w:rPr>
            </w:pPr>
            <w:r w:rsidRPr="00A3386F">
              <w:rPr>
                <w:rFonts w:eastAsiaTheme="minorEastAsia" w:hint="cs"/>
                <w:color w:val="000000" w:themeColor="text1"/>
                <w:sz w:val="26"/>
                <w:szCs w:val="26"/>
                <w:rtl/>
              </w:rPr>
              <w:t>معنوي</w:t>
            </w:r>
          </w:p>
        </w:tc>
      </w:tr>
    </w:tbl>
    <w:p w14:paraId="282EBEE3" w14:textId="77777777" w:rsidR="00317A4A" w:rsidRPr="00E24FBE" w:rsidRDefault="00317A4A" w:rsidP="00C24E42">
      <w:pPr>
        <w:ind w:firstLine="720"/>
        <w:jc w:val="lowKashida"/>
        <w:rPr>
          <w:noProof/>
          <w:color w:val="000000" w:themeColor="text1"/>
          <w:sz w:val="26"/>
          <w:szCs w:val="26"/>
          <w:rtl/>
          <w:lang w:bidi="ar-EG"/>
        </w:rPr>
      </w:pPr>
      <w:r w:rsidRPr="00E24FBE">
        <w:rPr>
          <w:noProof/>
          <w:color w:val="000000" w:themeColor="text1"/>
          <w:sz w:val="26"/>
          <w:szCs w:val="26"/>
          <w:rtl/>
          <w:lang w:bidi="ar-EG"/>
        </w:rPr>
        <w:t>من الجدول السابق يتضح ما يلي:</w:t>
      </w:r>
    </w:p>
    <w:p w14:paraId="245DCFED" w14:textId="77777777" w:rsidR="00317A4A" w:rsidRPr="00E24FBE" w:rsidRDefault="00317A4A" w:rsidP="002209B2">
      <w:pPr>
        <w:pStyle w:val="ListParagraph"/>
        <w:numPr>
          <w:ilvl w:val="0"/>
          <w:numId w:val="13"/>
        </w:numPr>
        <w:ind w:left="227" w:hanging="227"/>
        <w:contextualSpacing w:val="0"/>
        <w:jc w:val="lowKashida"/>
        <w:rPr>
          <w:color w:val="000000" w:themeColor="text1"/>
          <w:sz w:val="26"/>
          <w:szCs w:val="26"/>
          <w:lang w:bidi="ar-EG"/>
        </w:rPr>
      </w:pPr>
      <w:r w:rsidRPr="00E24FBE">
        <w:rPr>
          <w:color w:val="000000" w:themeColor="text1"/>
          <w:sz w:val="26"/>
          <w:szCs w:val="26"/>
          <w:rtl/>
          <w:lang w:bidi="ar-EG"/>
        </w:rPr>
        <w:t>معامل الارتباط بين المتغيرين هو 0.</w:t>
      </w:r>
      <w:r w:rsidRPr="00E24FBE">
        <w:rPr>
          <w:rFonts w:hint="cs"/>
          <w:color w:val="000000" w:themeColor="text1"/>
          <w:sz w:val="26"/>
          <w:szCs w:val="26"/>
          <w:rtl/>
          <w:lang w:bidi="ar-EG"/>
        </w:rPr>
        <w:t>72</w:t>
      </w:r>
      <w:r w:rsidRPr="00E24FBE">
        <w:rPr>
          <w:color w:val="000000" w:themeColor="text1"/>
          <w:sz w:val="26"/>
          <w:szCs w:val="26"/>
          <w:rtl/>
          <w:lang w:bidi="ar-EG"/>
        </w:rPr>
        <w:t xml:space="preserve"> مما يعني وجود علاقة ايجابية </w:t>
      </w:r>
      <w:r w:rsidRPr="00E24FBE">
        <w:rPr>
          <w:rFonts w:hint="cs"/>
          <w:color w:val="000000" w:themeColor="text1"/>
          <w:sz w:val="26"/>
          <w:szCs w:val="26"/>
          <w:rtl/>
          <w:lang w:bidi="ar-EG"/>
        </w:rPr>
        <w:t>متوسطة</w:t>
      </w:r>
      <w:r w:rsidRPr="00E24FBE">
        <w:rPr>
          <w:color w:val="000000" w:themeColor="text1"/>
          <w:sz w:val="26"/>
          <w:szCs w:val="26"/>
          <w:rtl/>
          <w:lang w:bidi="ar-EG"/>
        </w:rPr>
        <w:t xml:space="preserve"> </w:t>
      </w:r>
      <w:r w:rsidRPr="00E24FBE">
        <w:rPr>
          <w:rFonts w:hint="cs"/>
          <w:color w:val="000000" w:themeColor="text1"/>
          <w:sz w:val="26"/>
          <w:szCs w:val="26"/>
          <w:rtl/>
          <w:lang w:bidi="ar-EG"/>
        </w:rPr>
        <w:t>بين الإفصاح المحاسبي عن بنود الدخل الشامل وسلوك أسعار الأسهم.</w:t>
      </w:r>
    </w:p>
    <w:p w14:paraId="3DFE792F" w14:textId="77777777" w:rsidR="00317A4A" w:rsidRPr="00E24FBE" w:rsidRDefault="00317A4A" w:rsidP="00C85ED3">
      <w:pPr>
        <w:spacing w:line="192" w:lineRule="auto"/>
        <w:ind w:firstLine="720"/>
        <w:jc w:val="lowKashida"/>
        <w:rPr>
          <w:b/>
          <w:bCs/>
          <w:color w:val="000000" w:themeColor="text1"/>
          <w:sz w:val="26"/>
          <w:szCs w:val="26"/>
          <w:rtl/>
          <w:lang w:bidi="ar-EG"/>
        </w:rPr>
      </w:pPr>
      <w:r w:rsidRPr="00E24FBE">
        <w:rPr>
          <w:color w:val="000000" w:themeColor="text1"/>
          <w:sz w:val="26"/>
          <w:szCs w:val="26"/>
          <w:rtl/>
          <w:lang w:bidi="ar-EG"/>
        </w:rPr>
        <w:t xml:space="preserve">مما يؤكد </w:t>
      </w:r>
      <w:bookmarkStart w:id="11" w:name="_Hlk143076655"/>
      <w:r w:rsidRPr="00E24FBE">
        <w:rPr>
          <w:color w:val="000000" w:themeColor="text1"/>
          <w:sz w:val="26"/>
          <w:szCs w:val="26"/>
          <w:rtl/>
          <w:lang w:bidi="ar-EG"/>
        </w:rPr>
        <w:t xml:space="preserve">صحة الفرض </w:t>
      </w:r>
      <w:r w:rsidRPr="00E24FBE">
        <w:rPr>
          <w:rFonts w:hint="cs"/>
          <w:color w:val="000000" w:themeColor="text1"/>
          <w:sz w:val="26"/>
          <w:szCs w:val="26"/>
          <w:rtl/>
          <w:lang w:bidi="ar-EG"/>
        </w:rPr>
        <w:t>الرئيسي الثاني</w:t>
      </w:r>
      <w:r w:rsidRPr="00E24FBE">
        <w:rPr>
          <w:color w:val="000000" w:themeColor="text1"/>
          <w:sz w:val="26"/>
          <w:szCs w:val="26"/>
          <w:rtl/>
          <w:lang w:bidi="ar-EG"/>
        </w:rPr>
        <w:t xml:space="preserve"> القائل بأنه "</w:t>
      </w:r>
      <w:r w:rsidRPr="00E24FBE">
        <w:rPr>
          <w:b/>
          <w:bCs/>
          <w:color w:val="000000" w:themeColor="text1"/>
          <w:sz w:val="26"/>
          <w:szCs w:val="26"/>
          <w:rtl/>
          <w:lang w:bidi="ar-EG"/>
        </w:rPr>
        <w:t xml:space="preserve">توجد علاقة معنوية ذات دلالة إحصائية بين </w:t>
      </w:r>
      <w:r w:rsidRPr="00E24FBE">
        <w:rPr>
          <w:rFonts w:hint="cs"/>
          <w:b/>
          <w:bCs/>
          <w:color w:val="000000" w:themeColor="text1"/>
          <w:sz w:val="26"/>
          <w:szCs w:val="26"/>
          <w:rtl/>
          <w:lang w:bidi="ar-EG"/>
        </w:rPr>
        <w:t>الإفصاح المحاسبي عن بنود الدخل الشامل وسلوك أسعار الأسهم</w:t>
      </w:r>
      <w:r w:rsidRPr="00E24FBE">
        <w:rPr>
          <w:b/>
          <w:bCs/>
          <w:color w:val="000000" w:themeColor="text1"/>
          <w:sz w:val="26"/>
          <w:szCs w:val="26"/>
          <w:rtl/>
          <w:lang w:bidi="ar-EG"/>
        </w:rPr>
        <w:t>".</w:t>
      </w:r>
      <w:bookmarkEnd w:id="11"/>
    </w:p>
    <w:p w14:paraId="7D774F0E" w14:textId="43126227" w:rsidR="00C65B31" w:rsidRPr="004A25B3" w:rsidRDefault="00C65B31" w:rsidP="00C85ED3">
      <w:pPr>
        <w:spacing w:line="192" w:lineRule="auto"/>
        <w:jc w:val="center"/>
        <w:rPr>
          <w:b/>
          <w:bCs/>
          <w:color w:val="000000" w:themeColor="text1"/>
          <w:sz w:val="26"/>
          <w:szCs w:val="26"/>
          <w:rtl/>
          <w:lang w:bidi="ar-EG"/>
        </w:rPr>
      </w:pPr>
      <w:r w:rsidRPr="004A25B3">
        <w:rPr>
          <w:rFonts w:hint="cs"/>
          <w:b/>
          <w:bCs/>
          <w:color w:val="000000" w:themeColor="text1"/>
          <w:sz w:val="26"/>
          <w:szCs w:val="26"/>
          <w:rtl/>
          <w:lang w:bidi="ar-EG"/>
        </w:rPr>
        <w:t>جدول (19): ال</w:t>
      </w:r>
      <w:r w:rsidRPr="004A25B3">
        <w:rPr>
          <w:b/>
          <w:bCs/>
          <w:color w:val="000000" w:themeColor="text1"/>
          <w:sz w:val="26"/>
          <w:szCs w:val="26"/>
          <w:rtl/>
          <w:lang w:bidi="ar-EG"/>
        </w:rPr>
        <w:t xml:space="preserve">نتائج </w:t>
      </w:r>
      <w:r w:rsidRPr="004A25B3">
        <w:rPr>
          <w:rFonts w:hint="cs"/>
          <w:b/>
          <w:bCs/>
          <w:color w:val="000000" w:themeColor="text1"/>
          <w:sz w:val="26"/>
          <w:szCs w:val="26"/>
          <w:rtl/>
          <w:lang w:bidi="ar-EG"/>
        </w:rPr>
        <w:t>العامة لل</w:t>
      </w:r>
      <w:r w:rsidRPr="004A25B3">
        <w:rPr>
          <w:b/>
          <w:bCs/>
          <w:color w:val="000000" w:themeColor="text1"/>
          <w:sz w:val="26"/>
          <w:szCs w:val="26"/>
          <w:rtl/>
          <w:lang w:bidi="ar-EG"/>
        </w:rPr>
        <w:t xml:space="preserve">تحليل الإحصائي لاختبار صحة </w:t>
      </w:r>
      <w:r w:rsidRPr="004A25B3">
        <w:rPr>
          <w:rFonts w:hint="cs"/>
          <w:b/>
          <w:bCs/>
          <w:color w:val="000000" w:themeColor="text1"/>
          <w:sz w:val="26"/>
          <w:szCs w:val="26"/>
          <w:rtl/>
          <w:lang w:bidi="ar-EG"/>
        </w:rPr>
        <w:t>فروض الدراسة</w:t>
      </w:r>
    </w:p>
    <w:tbl>
      <w:tblPr>
        <w:tblStyle w:val="TableGrid13"/>
        <w:bidiVisual/>
        <w:tblW w:w="9153"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2064"/>
        <w:gridCol w:w="7089"/>
      </w:tblGrid>
      <w:tr w:rsidR="009C4D0A" w:rsidRPr="00E24FBE" w14:paraId="4E7B5691" w14:textId="77777777" w:rsidTr="00C85ED3">
        <w:trPr>
          <w:trHeight w:val="289"/>
          <w:tblHeader/>
          <w:jc w:val="center"/>
        </w:trPr>
        <w:tc>
          <w:tcPr>
            <w:tcW w:w="2064" w:type="dxa"/>
            <w:shd w:val="thinDiagCross" w:color="D9D9D9" w:themeColor="background1" w:themeShade="D9" w:fill="F2F2F2" w:themeFill="background1" w:themeFillShade="F2"/>
            <w:vAlign w:val="center"/>
          </w:tcPr>
          <w:p w14:paraId="6520D354" w14:textId="77777777" w:rsidR="00C65B31" w:rsidRPr="00221D26" w:rsidRDefault="00C65B31" w:rsidP="00C85ED3">
            <w:pPr>
              <w:spacing w:line="204" w:lineRule="auto"/>
              <w:jc w:val="center"/>
              <w:rPr>
                <w:b/>
                <w:bCs/>
                <w:color w:val="000000" w:themeColor="text1"/>
                <w:sz w:val="26"/>
                <w:szCs w:val="26"/>
                <w:rtl/>
                <w:lang w:bidi="ar-EG"/>
              </w:rPr>
            </w:pPr>
            <w:r w:rsidRPr="00221D26">
              <w:rPr>
                <w:b/>
                <w:bCs/>
                <w:color w:val="000000" w:themeColor="text1"/>
                <w:sz w:val="26"/>
                <w:szCs w:val="26"/>
                <w:rtl/>
                <w:lang w:bidi="ar-EG"/>
              </w:rPr>
              <w:t>الاختبار / التحليل</w:t>
            </w:r>
          </w:p>
        </w:tc>
        <w:tc>
          <w:tcPr>
            <w:tcW w:w="7089" w:type="dxa"/>
            <w:shd w:val="thinDiagCross" w:color="D9D9D9" w:themeColor="background1" w:themeShade="D9" w:fill="F2F2F2" w:themeFill="background1" w:themeFillShade="F2"/>
            <w:vAlign w:val="center"/>
          </w:tcPr>
          <w:p w14:paraId="37583879" w14:textId="77777777" w:rsidR="00C65B31" w:rsidRPr="00221D26" w:rsidRDefault="00C65B31" w:rsidP="00C85ED3">
            <w:pPr>
              <w:spacing w:line="204" w:lineRule="auto"/>
              <w:jc w:val="center"/>
              <w:rPr>
                <w:b/>
                <w:bCs/>
                <w:color w:val="000000" w:themeColor="text1"/>
                <w:sz w:val="26"/>
                <w:szCs w:val="26"/>
                <w:rtl/>
                <w:lang w:bidi="ar-EG"/>
              </w:rPr>
            </w:pPr>
            <w:r w:rsidRPr="00221D26">
              <w:rPr>
                <w:b/>
                <w:bCs/>
                <w:color w:val="000000" w:themeColor="text1"/>
                <w:sz w:val="26"/>
                <w:szCs w:val="26"/>
                <w:rtl/>
                <w:lang w:bidi="ar-EG"/>
              </w:rPr>
              <w:t xml:space="preserve">نتائج التحليل الإحصائي لاختبار صحة </w:t>
            </w:r>
            <w:r w:rsidRPr="00221D26">
              <w:rPr>
                <w:rFonts w:hint="cs"/>
                <w:b/>
                <w:bCs/>
                <w:color w:val="000000" w:themeColor="text1"/>
                <w:sz w:val="26"/>
                <w:szCs w:val="26"/>
                <w:rtl/>
                <w:lang w:bidi="ar-EG"/>
              </w:rPr>
              <w:t>الفروض</w:t>
            </w:r>
          </w:p>
        </w:tc>
      </w:tr>
      <w:tr w:rsidR="009C4D0A" w:rsidRPr="00E24FBE" w14:paraId="5338D63C" w14:textId="77777777" w:rsidTr="00C85ED3">
        <w:trPr>
          <w:jc w:val="center"/>
        </w:trPr>
        <w:tc>
          <w:tcPr>
            <w:tcW w:w="2064" w:type="dxa"/>
            <w:vAlign w:val="center"/>
          </w:tcPr>
          <w:p w14:paraId="6CB4E5FE" w14:textId="77777777" w:rsidR="00C65B31" w:rsidRPr="00E24FBE" w:rsidRDefault="00C65B31" w:rsidP="00C85ED3">
            <w:pPr>
              <w:spacing w:line="180" w:lineRule="auto"/>
              <w:jc w:val="center"/>
              <w:rPr>
                <w:color w:val="000000" w:themeColor="text1"/>
                <w:sz w:val="26"/>
                <w:szCs w:val="26"/>
                <w:rtl/>
                <w:lang w:bidi="ar-EG"/>
              </w:rPr>
            </w:pPr>
            <w:r w:rsidRPr="00E24FBE">
              <w:rPr>
                <w:color w:val="000000" w:themeColor="text1"/>
                <w:sz w:val="26"/>
                <w:szCs w:val="26"/>
                <w:rtl/>
                <w:lang w:bidi="ar-EG"/>
              </w:rPr>
              <w:t xml:space="preserve">اختبار الصلاحية والاعتمادية (معامل ألفا </w:t>
            </w:r>
            <w:proofErr w:type="spellStart"/>
            <w:r w:rsidRPr="00E24FBE">
              <w:rPr>
                <w:color w:val="000000" w:themeColor="text1"/>
                <w:sz w:val="26"/>
                <w:szCs w:val="26"/>
                <w:rtl/>
                <w:lang w:bidi="ar-EG"/>
              </w:rPr>
              <w:t>كرونباخ</w:t>
            </w:r>
            <w:proofErr w:type="spellEnd"/>
            <w:r w:rsidRPr="00E24FBE">
              <w:rPr>
                <w:color w:val="000000" w:themeColor="text1"/>
                <w:sz w:val="26"/>
                <w:szCs w:val="26"/>
                <w:rtl/>
                <w:lang w:bidi="ar-EG"/>
              </w:rPr>
              <w:t>)</w:t>
            </w:r>
          </w:p>
        </w:tc>
        <w:tc>
          <w:tcPr>
            <w:tcW w:w="7089" w:type="dxa"/>
          </w:tcPr>
          <w:p w14:paraId="72E841FF" w14:textId="77777777" w:rsidR="00C65B31" w:rsidRPr="00E24FBE" w:rsidRDefault="00C65B31" w:rsidP="00C85ED3">
            <w:pPr>
              <w:numPr>
                <w:ilvl w:val="0"/>
                <w:numId w:val="5"/>
              </w:numPr>
              <w:tabs>
                <w:tab w:val="right" w:pos="401"/>
              </w:tabs>
              <w:spacing w:line="180" w:lineRule="auto"/>
              <w:ind w:left="356" w:hanging="356"/>
              <w:jc w:val="lowKashida"/>
              <w:rPr>
                <w:color w:val="000000" w:themeColor="text1"/>
                <w:sz w:val="26"/>
                <w:szCs w:val="26"/>
                <w:lang w:bidi="ar-EG"/>
              </w:rPr>
            </w:pPr>
            <w:r w:rsidRPr="00E24FBE">
              <w:rPr>
                <w:color w:val="000000" w:themeColor="text1"/>
                <w:sz w:val="26"/>
                <w:szCs w:val="26"/>
                <w:rtl/>
                <w:lang w:bidi="ar-EG"/>
              </w:rPr>
              <w:t xml:space="preserve">جميع العناصر المستخدمة في تحليل وقياس نتائج فروض الدراسة صالحة ويمكن الاعتماد عليها في عملية القياس؛ حيث أن قيمة معامل ألفا </w:t>
            </w:r>
            <w:proofErr w:type="spellStart"/>
            <w:r w:rsidRPr="00E24FBE">
              <w:rPr>
                <w:color w:val="000000" w:themeColor="text1"/>
                <w:sz w:val="26"/>
                <w:szCs w:val="26"/>
                <w:rtl/>
                <w:lang w:bidi="ar-EG"/>
              </w:rPr>
              <w:t>كرونباخ</w:t>
            </w:r>
            <w:proofErr w:type="spellEnd"/>
            <w:r w:rsidRPr="00E24FBE">
              <w:rPr>
                <w:color w:val="000000" w:themeColor="text1"/>
                <w:sz w:val="26"/>
                <w:szCs w:val="26"/>
                <w:rtl/>
                <w:lang w:bidi="ar-EG"/>
              </w:rPr>
              <w:t xml:space="preserve"> عالية مما يشير إلى وجود درجة عالية من الاعتمادية والتجانس والتناسق </w:t>
            </w:r>
            <w:proofErr w:type="spellStart"/>
            <w:r w:rsidRPr="00E24FBE">
              <w:rPr>
                <w:color w:val="000000" w:themeColor="text1"/>
                <w:sz w:val="26"/>
                <w:szCs w:val="26"/>
                <w:rtl/>
                <w:lang w:bidi="ar-EG"/>
              </w:rPr>
              <w:t>الداخلى</w:t>
            </w:r>
            <w:proofErr w:type="spellEnd"/>
            <w:r w:rsidRPr="00E24FBE">
              <w:rPr>
                <w:color w:val="000000" w:themeColor="text1"/>
                <w:sz w:val="26"/>
                <w:szCs w:val="26"/>
                <w:rtl/>
                <w:lang w:bidi="ar-EG"/>
              </w:rPr>
              <w:t xml:space="preserve"> بين متغيرات وأبعاد فروض الدراسة.</w:t>
            </w:r>
          </w:p>
        </w:tc>
      </w:tr>
      <w:tr w:rsidR="009C4D0A" w:rsidRPr="00E24FBE" w14:paraId="61CEC72D" w14:textId="77777777" w:rsidTr="00C85ED3">
        <w:trPr>
          <w:jc w:val="center"/>
        </w:trPr>
        <w:tc>
          <w:tcPr>
            <w:tcW w:w="2064" w:type="dxa"/>
            <w:vAlign w:val="center"/>
          </w:tcPr>
          <w:p w14:paraId="467FACB7" w14:textId="77777777" w:rsidR="00C65B31" w:rsidRPr="00C85ED3" w:rsidRDefault="00C65B31" w:rsidP="00C85ED3">
            <w:pPr>
              <w:spacing w:line="180" w:lineRule="auto"/>
              <w:jc w:val="center"/>
              <w:rPr>
                <w:color w:val="000000" w:themeColor="text1"/>
                <w:spacing w:val="-4"/>
                <w:sz w:val="26"/>
                <w:szCs w:val="26"/>
                <w:rtl/>
                <w:lang w:bidi="ar-EG"/>
              </w:rPr>
            </w:pPr>
            <w:r w:rsidRPr="00C85ED3">
              <w:rPr>
                <w:color w:val="000000" w:themeColor="text1"/>
                <w:spacing w:val="-4"/>
                <w:sz w:val="26"/>
                <w:szCs w:val="26"/>
                <w:rtl/>
                <w:lang w:bidi="ar-EG"/>
              </w:rPr>
              <w:t xml:space="preserve">التحليل </w:t>
            </w:r>
            <w:proofErr w:type="spellStart"/>
            <w:r w:rsidRPr="00C85ED3">
              <w:rPr>
                <w:color w:val="000000" w:themeColor="text1"/>
                <w:spacing w:val="-4"/>
                <w:sz w:val="26"/>
                <w:szCs w:val="26"/>
                <w:rtl/>
                <w:lang w:bidi="ar-EG"/>
              </w:rPr>
              <w:t>الوصفى</w:t>
            </w:r>
            <w:proofErr w:type="spellEnd"/>
            <w:r w:rsidRPr="00C85ED3">
              <w:rPr>
                <w:color w:val="000000" w:themeColor="text1"/>
                <w:spacing w:val="-4"/>
                <w:sz w:val="26"/>
                <w:szCs w:val="26"/>
                <w:rtl/>
                <w:lang w:bidi="ar-EG"/>
              </w:rPr>
              <w:t xml:space="preserve"> للبيانات من خلال بعض المقاييس الإحصائية</w:t>
            </w:r>
          </w:p>
        </w:tc>
        <w:tc>
          <w:tcPr>
            <w:tcW w:w="7089" w:type="dxa"/>
          </w:tcPr>
          <w:p w14:paraId="2B11B80E" w14:textId="77777777" w:rsidR="00C65B31" w:rsidRPr="00C85ED3" w:rsidRDefault="00C65B31" w:rsidP="00C85ED3">
            <w:pPr>
              <w:numPr>
                <w:ilvl w:val="0"/>
                <w:numId w:val="5"/>
              </w:numPr>
              <w:tabs>
                <w:tab w:val="right" w:pos="401"/>
              </w:tabs>
              <w:spacing w:line="180" w:lineRule="auto"/>
              <w:ind w:left="356" w:hanging="356"/>
              <w:jc w:val="lowKashida"/>
              <w:rPr>
                <w:color w:val="000000" w:themeColor="text1"/>
                <w:spacing w:val="-6"/>
                <w:sz w:val="26"/>
                <w:szCs w:val="26"/>
                <w:lang w:bidi="ar-EG"/>
              </w:rPr>
            </w:pPr>
            <w:r w:rsidRPr="00C85ED3">
              <w:rPr>
                <w:color w:val="000000" w:themeColor="text1"/>
                <w:spacing w:val="-6"/>
                <w:sz w:val="26"/>
                <w:szCs w:val="26"/>
                <w:rtl/>
                <w:lang w:bidi="ar-EG"/>
              </w:rPr>
              <w:t xml:space="preserve">تشير قيم الوسط الحسابي لجميع ردود </w:t>
            </w:r>
            <w:proofErr w:type="spellStart"/>
            <w:r w:rsidRPr="00C85ED3">
              <w:rPr>
                <w:color w:val="000000" w:themeColor="text1"/>
                <w:spacing w:val="-6"/>
                <w:sz w:val="26"/>
                <w:szCs w:val="26"/>
                <w:rtl/>
                <w:lang w:bidi="ar-EG"/>
              </w:rPr>
              <w:t>المستقصى</w:t>
            </w:r>
            <w:proofErr w:type="spellEnd"/>
            <w:r w:rsidRPr="00C85ED3">
              <w:rPr>
                <w:color w:val="000000" w:themeColor="text1"/>
                <w:spacing w:val="-6"/>
                <w:sz w:val="26"/>
                <w:szCs w:val="26"/>
                <w:rtl/>
                <w:lang w:bidi="ar-EG"/>
              </w:rPr>
              <w:t xml:space="preserve"> منهم حول جميع بيانات الفروض (أكبر من 3) إلى أن الآراء تميل لصالح الموافقة؛ وهو ما تدل عليه نسب الوزن النسبي لجميع العناصر والتي تزيد عن 60% الممثلة لاختيار "محايد".</w:t>
            </w:r>
          </w:p>
        </w:tc>
      </w:tr>
      <w:tr w:rsidR="00C65B31" w:rsidRPr="00E24FBE" w14:paraId="7CF8E1AA" w14:textId="77777777" w:rsidTr="00C85ED3">
        <w:trPr>
          <w:jc w:val="center"/>
        </w:trPr>
        <w:tc>
          <w:tcPr>
            <w:tcW w:w="2064" w:type="dxa"/>
            <w:vAlign w:val="center"/>
          </w:tcPr>
          <w:p w14:paraId="54BBFE3C" w14:textId="528B1E45" w:rsidR="00C65B31" w:rsidRPr="00E24FBE" w:rsidRDefault="00C65B31" w:rsidP="00C85ED3">
            <w:pPr>
              <w:spacing w:line="204" w:lineRule="auto"/>
              <w:jc w:val="center"/>
              <w:rPr>
                <w:color w:val="000000" w:themeColor="text1"/>
                <w:sz w:val="26"/>
                <w:szCs w:val="26"/>
                <w:rtl/>
                <w:lang w:bidi="ar-EG"/>
              </w:rPr>
            </w:pPr>
            <w:r w:rsidRPr="00E24FBE">
              <w:rPr>
                <w:color w:val="000000" w:themeColor="text1"/>
                <w:sz w:val="26"/>
                <w:szCs w:val="26"/>
                <w:rtl/>
                <w:lang w:bidi="ar-EG"/>
              </w:rPr>
              <w:t>تحليل الارتباط</w:t>
            </w:r>
          </w:p>
        </w:tc>
        <w:tc>
          <w:tcPr>
            <w:tcW w:w="7089" w:type="dxa"/>
          </w:tcPr>
          <w:p w14:paraId="4B152B6C" w14:textId="7DBB40D5" w:rsidR="00C65B31" w:rsidRPr="00E24FBE" w:rsidRDefault="00C65B31" w:rsidP="00C85ED3">
            <w:pPr>
              <w:numPr>
                <w:ilvl w:val="0"/>
                <w:numId w:val="5"/>
              </w:numPr>
              <w:tabs>
                <w:tab w:val="right" w:pos="401"/>
              </w:tabs>
              <w:spacing w:line="204" w:lineRule="auto"/>
              <w:ind w:left="225" w:hanging="225"/>
              <w:jc w:val="lowKashida"/>
              <w:rPr>
                <w:color w:val="000000" w:themeColor="text1"/>
                <w:sz w:val="26"/>
                <w:szCs w:val="26"/>
                <w:lang w:bidi="ar-EG"/>
              </w:rPr>
            </w:pPr>
            <w:r w:rsidRPr="00E24FBE">
              <w:rPr>
                <w:color w:val="000000" w:themeColor="text1"/>
                <w:sz w:val="26"/>
                <w:szCs w:val="26"/>
                <w:rtl/>
                <w:lang w:bidi="ar-EG"/>
              </w:rPr>
              <w:t xml:space="preserve">تشير نتائج تحليل </w:t>
            </w:r>
            <w:proofErr w:type="gramStart"/>
            <w:r w:rsidRPr="00E24FBE">
              <w:rPr>
                <w:color w:val="000000" w:themeColor="text1"/>
                <w:sz w:val="26"/>
                <w:szCs w:val="26"/>
                <w:rtl/>
                <w:lang w:bidi="ar-EG"/>
              </w:rPr>
              <w:t>الارتباط  إلى</w:t>
            </w:r>
            <w:proofErr w:type="gramEnd"/>
            <w:r w:rsidRPr="00E24FBE">
              <w:rPr>
                <w:color w:val="000000" w:themeColor="text1"/>
                <w:sz w:val="26"/>
                <w:szCs w:val="26"/>
                <w:rtl/>
                <w:lang w:bidi="ar-EG"/>
              </w:rPr>
              <w:t xml:space="preserve"> ثبوت صحة فروض الدراسة والتي تنص على:</w:t>
            </w:r>
          </w:p>
          <w:p w14:paraId="062FB018" w14:textId="1B933FDE" w:rsidR="00C65B31" w:rsidRPr="00E24FBE" w:rsidRDefault="00C65B31" w:rsidP="00C85ED3">
            <w:pPr>
              <w:pStyle w:val="ListParagraph"/>
              <w:numPr>
                <w:ilvl w:val="0"/>
                <w:numId w:val="19"/>
              </w:numPr>
              <w:spacing w:line="192" w:lineRule="auto"/>
              <w:ind w:left="357" w:hanging="357"/>
              <w:contextualSpacing w:val="0"/>
              <w:jc w:val="lowKashida"/>
              <w:rPr>
                <w:color w:val="000000" w:themeColor="text1"/>
                <w:sz w:val="26"/>
                <w:szCs w:val="26"/>
                <w:lang w:bidi="ar-EG"/>
              </w:rPr>
            </w:pPr>
            <w:r w:rsidRPr="00E24FBE">
              <w:rPr>
                <w:color w:val="000000" w:themeColor="text1"/>
                <w:sz w:val="26"/>
                <w:szCs w:val="26"/>
                <w:rtl/>
                <w:lang w:bidi="ar-EG"/>
              </w:rPr>
              <w:t xml:space="preserve">يوجد أثر ذو دلالة إحصائية </w:t>
            </w:r>
            <w:r w:rsidR="00874903" w:rsidRPr="00E24FBE">
              <w:rPr>
                <w:rFonts w:hint="cs"/>
                <w:color w:val="000000" w:themeColor="text1"/>
                <w:sz w:val="26"/>
                <w:szCs w:val="26"/>
                <w:rtl/>
                <w:lang w:bidi="ar-EG"/>
              </w:rPr>
              <w:t xml:space="preserve">بين الإفصاح </w:t>
            </w:r>
            <w:proofErr w:type="spellStart"/>
            <w:r w:rsidR="00874903" w:rsidRPr="00E24FBE">
              <w:rPr>
                <w:rFonts w:hint="cs"/>
                <w:color w:val="000000" w:themeColor="text1"/>
                <w:sz w:val="26"/>
                <w:szCs w:val="26"/>
                <w:rtl/>
                <w:lang w:bidi="ar-EG"/>
              </w:rPr>
              <w:t>المحاسبى</w:t>
            </w:r>
            <w:proofErr w:type="spellEnd"/>
            <w:r w:rsidR="00874903" w:rsidRPr="00E24FBE">
              <w:rPr>
                <w:rFonts w:hint="cs"/>
                <w:color w:val="000000" w:themeColor="text1"/>
                <w:sz w:val="26"/>
                <w:szCs w:val="26"/>
                <w:rtl/>
                <w:lang w:bidi="ar-EG"/>
              </w:rPr>
              <w:t xml:space="preserve"> عن الدخل الشامل وكفاءة سوق الأوراق المالية</w:t>
            </w:r>
            <w:r w:rsidRPr="00E24FBE">
              <w:rPr>
                <w:color w:val="000000" w:themeColor="text1"/>
                <w:sz w:val="26"/>
                <w:szCs w:val="26"/>
                <w:rtl/>
                <w:lang w:bidi="ar-EG"/>
              </w:rPr>
              <w:t>.</w:t>
            </w:r>
          </w:p>
          <w:p w14:paraId="756FF738" w14:textId="4B15BEC4" w:rsidR="00874903" w:rsidRPr="00E24FBE" w:rsidRDefault="00C65B31" w:rsidP="00C85ED3">
            <w:pPr>
              <w:pStyle w:val="ListParagraph"/>
              <w:numPr>
                <w:ilvl w:val="0"/>
                <w:numId w:val="19"/>
              </w:numPr>
              <w:spacing w:line="192" w:lineRule="auto"/>
              <w:ind w:left="357" w:hanging="357"/>
              <w:contextualSpacing w:val="0"/>
              <w:jc w:val="lowKashida"/>
              <w:rPr>
                <w:color w:val="000000" w:themeColor="text1"/>
                <w:sz w:val="26"/>
                <w:szCs w:val="26"/>
                <w:rtl/>
                <w:lang w:bidi="ar-EG"/>
              </w:rPr>
            </w:pPr>
            <w:r w:rsidRPr="00E24FBE">
              <w:rPr>
                <w:color w:val="000000" w:themeColor="text1"/>
                <w:sz w:val="26"/>
                <w:szCs w:val="26"/>
                <w:rtl/>
                <w:lang w:bidi="ar-EG"/>
              </w:rPr>
              <w:t xml:space="preserve">يوجد أثر ذو دلالة إحصائية </w:t>
            </w:r>
            <w:r w:rsidR="00874903" w:rsidRPr="00E24FBE">
              <w:rPr>
                <w:rFonts w:hint="cs"/>
                <w:color w:val="000000" w:themeColor="text1"/>
                <w:sz w:val="26"/>
                <w:szCs w:val="26"/>
                <w:rtl/>
                <w:lang w:bidi="ar-EG"/>
              </w:rPr>
              <w:t xml:space="preserve">بين الإفصاح المحاسبي عن المكاسب والخسائر الناتجة عن إعادة تقييم الأصول المالية المتاحة للبيع وسلوك أسعار الأسهم.    </w:t>
            </w:r>
          </w:p>
          <w:p w14:paraId="636C1BCC" w14:textId="424238E7" w:rsidR="00874903" w:rsidRPr="00E24FBE" w:rsidRDefault="00874903" w:rsidP="00C85ED3">
            <w:pPr>
              <w:spacing w:line="192" w:lineRule="auto"/>
              <w:jc w:val="mediumKashida"/>
              <w:rPr>
                <w:color w:val="000000" w:themeColor="text1"/>
                <w:sz w:val="26"/>
                <w:szCs w:val="26"/>
                <w:rtl/>
                <w:lang w:bidi="ar-EG"/>
              </w:rPr>
            </w:pPr>
            <w:r w:rsidRPr="00E24FBE">
              <w:rPr>
                <w:rFonts w:hint="cs"/>
                <w:color w:val="000000" w:themeColor="text1"/>
                <w:sz w:val="26"/>
                <w:szCs w:val="26"/>
                <w:rtl/>
                <w:lang w:bidi="ar-EG"/>
              </w:rPr>
              <w:t xml:space="preserve"> </w:t>
            </w:r>
            <w:r w:rsidRPr="00E24FBE">
              <w:rPr>
                <w:rFonts w:cs="Times New Roman" w:hint="cs"/>
                <w:color w:val="000000" w:themeColor="text1"/>
                <w:sz w:val="26"/>
                <w:szCs w:val="26"/>
                <w:rtl/>
                <w:lang w:bidi="ar-EG"/>
              </w:rPr>
              <w:t>♦</w:t>
            </w:r>
            <w:r w:rsidRPr="00E24FBE">
              <w:rPr>
                <w:rFonts w:hint="cs"/>
                <w:color w:val="000000" w:themeColor="text1"/>
                <w:sz w:val="26"/>
                <w:szCs w:val="26"/>
                <w:rtl/>
                <w:lang w:bidi="ar-EG"/>
              </w:rPr>
              <w:t xml:space="preserve"> يوجد أثر ذو دلالة إحصائية  بين الإفصاح المحاسبي عن الجزء الفعال من المكاسب والخسائر على أدوات التغطية المستخدمة في تحوط التدفقات النقدية وسلوك أسعار الأسهم. </w:t>
            </w:r>
          </w:p>
          <w:p w14:paraId="45735613" w14:textId="6240BB16" w:rsidR="00874903" w:rsidRPr="00E24FBE" w:rsidRDefault="00874903" w:rsidP="00C85ED3">
            <w:pPr>
              <w:pStyle w:val="ListParagraph"/>
              <w:numPr>
                <w:ilvl w:val="0"/>
                <w:numId w:val="19"/>
              </w:numPr>
              <w:spacing w:line="192" w:lineRule="auto"/>
              <w:ind w:left="357" w:hanging="357"/>
              <w:contextualSpacing w:val="0"/>
              <w:jc w:val="lowKashida"/>
              <w:rPr>
                <w:color w:val="000000" w:themeColor="text1"/>
                <w:sz w:val="26"/>
                <w:szCs w:val="26"/>
                <w:rtl/>
                <w:lang w:bidi="ar-EG"/>
              </w:rPr>
            </w:pPr>
            <w:r w:rsidRPr="00E24FBE">
              <w:rPr>
                <w:rFonts w:hint="cs"/>
                <w:b/>
                <w:bCs/>
                <w:color w:val="000000" w:themeColor="text1"/>
                <w:sz w:val="26"/>
                <w:szCs w:val="26"/>
                <w:rtl/>
                <w:lang w:bidi="ar-EG"/>
              </w:rPr>
              <w:t xml:space="preserve"> </w:t>
            </w:r>
            <w:r w:rsidRPr="00E24FBE">
              <w:rPr>
                <w:rFonts w:hint="cs"/>
                <w:color w:val="000000" w:themeColor="text1"/>
                <w:sz w:val="26"/>
                <w:szCs w:val="26"/>
                <w:rtl/>
                <w:lang w:bidi="ar-EG"/>
              </w:rPr>
              <w:t>يوجد أثر ذو دلالة إحصائية  بين الإفصاح المحاسبي عن المكاسب والخسائر الناتجة عن تسويات ترجمة العملات الأجنبية وسلوك أسعار الأسهم.</w:t>
            </w:r>
          </w:p>
          <w:p w14:paraId="74B9DF21" w14:textId="49C5FCE9" w:rsidR="00874903" w:rsidRPr="00E24FBE" w:rsidRDefault="00874903" w:rsidP="00C85ED3">
            <w:pPr>
              <w:pStyle w:val="ListParagraph"/>
              <w:numPr>
                <w:ilvl w:val="0"/>
                <w:numId w:val="19"/>
              </w:numPr>
              <w:spacing w:line="192" w:lineRule="auto"/>
              <w:ind w:left="357" w:hanging="357"/>
              <w:contextualSpacing w:val="0"/>
              <w:jc w:val="lowKashida"/>
              <w:rPr>
                <w:b/>
                <w:bCs/>
                <w:color w:val="000000" w:themeColor="text1"/>
                <w:sz w:val="26"/>
                <w:szCs w:val="26"/>
                <w:rtl/>
                <w:lang w:bidi="ar-EG"/>
              </w:rPr>
            </w:pPr>
            <w:r w:rsidRPr="00E24FBE">
              <w:rPr>
                <w:rFonts w:hint="cs"/>
                <w:color w:val="000000" w:themeColor="text1"/>
                <w:sz w:val="26"/>
                <w:szCs w:val="26"/>
                <w:rtl/>
                <w:lang w:bidi="ar-EG"/>
              </w:rPr>
              <w:t xml:space="preserve"> يوجد أثر ذو دلالة إحصائية بين الإفصاح المحاسبي عن المكاسب والخسائر </w:t>
            </w:r>
            <w:proofErr w:type="spellStart"/>
            <w:r w:rsidRPr="00E24FBE">
              <w:rPr>
                <w:rFonts w:hint="cs"/>
                <w:color w:val="000000" w:themeColor="text1"/>
                <w:sz w:val="26"/>
                <w:szCs w:val="26"/>
                <w:rtl/>
                <w:lang w:bidi="ar-EG"/>
              </w:rPr>
              <w:t>الإكتوارية</w:t>
            </w:r>
            <w:proofErr w:type="spellEnd"/>
            <w:r w:rsidRPr="00E24FBE">
              <w:rPr>
                <w:rFonts w:hint="cs"/>
                <w:color w:val="000000" w:themeColor="text1"/>
                <w:sz w:val="26"/>
                <w:szCs w:val="26"/>
                <w:rtl/>
                <w:lang w:bidi="ar-EG"/>
              </w:rPr>
              <w:t xml:space="preserve"> على خطط منافع الموظفين وسلوك أسعار الأسهم.</w:t>
            </w:r>
          </w:p>
          <w:p w14:paraId="3CF0CD18" w14:textId="0CEA4416" w:rsidR="00C65B31" w:rsidRPr="00E24FBE" w:rsidRDefault="00874903" w:rsidP="00C85ED3">
            <w:pPr>
              <w:pStyle w:val="ListParagraph"/>
              <w:numPr>
                <w:ilvl w:val="0"/>
                <w:numId w:val="19"/>
              </w:numPr>
              <w:spacing w:line="204" w:lineRule="auto"/>
              <w:ind w:left="357" w:hanging="357"/>
              <w:contextualSpacing w:val="0"/>
              <w:jc w:val="lowKashida"/>
              <w:rPr>
                <w:color w:val="000000" w:themeColor="text1"/>
                <w:sz w:val="26"/>
                <w:szCs w:val="26"/>
                <w:lang w:bidi="ar-EG"/>
              </w:rPr>
            </w:pPr>
            <w:r w:rsidRPr="00E24FBE">
              <w:rPr>
                <w:rFonts w:hint="cs"/>
                <w:b/>
                <w:bCs/>
                <w:color w:val="000000" w:themeColor="text1"/>
                <w:sz w:val="26"/>
                <w:szCs w:val="26"/>
                <w:rtl/>
                <w:lang w:bidi="ar-EG"/>
              </w:rPr>
              <w:t xml:space="preserve"> </w:t>
            </w:r>
            <w:r w:rsidRPr="00E24FBE">
              <w:rPr>
                <w:rFonts w:hint="cs"/>
                <w:color w:val="000000" w:themeColor="text1"/>
                <w:sz w:val="26"/>
                <w:szCs w:val="26"/>
                <w:rtl/>
                <w:lang w:bidi="ar-EG"/>
              </w:rPr>
              <w:t xml:space="preserve"> يوجد أثر ذو دلالة إحصائية بين الإفصاح المحاسبي عن التغيرات في فائض إعادة التقييم للأصول الثابتة والأصول غير الملموسة وسلوك أسعار الأسهم</w:t>
            </w:r>
            <w:r w:rsidR="00741C5A" w:rsidRPr="00E24FBE">
              <w:rPr>
                <w:rFonts w:hint="cs"/>
                <w:color w:val="000000" w:themeColor="text1"/>
                <w:sz w:val="26"/>
                <w:szCs w:val="26"/>
                <w:rtl/>
                <w:lang w:bidi="ar-EG"/>
              </w:rPr>
              <w:t>.</w:t>
            </w:r>
            <w:r w:rsidRPr="00E24FBE">
              <w:rPr>
                <w:rFonts w:hint="cs"/>
                <w:color w:val="000000" w:themeColor="text1"/>
                <w:sz w:val="26"/>
                <w:szCs w:val="26"/>
                <w:rtl/>
                <w:lang w:bidi="ar-EG"/>
              </w:rPr>
              <w:t xml:space="preserve">  </w:t>
            </w:r>
          </w:p>
        </w:tc>
      </w:tr>
    </w:tbl>
    <w:p w14:paraId="699079BB" w14:textId="71299497" w:rsidR="00C65B31" w:rsidRPr="00C85ED3" w:rsidRDefault="00DD0DBF" w:rsidP="00C24E42">
      <w:pPr>
        <w:jc w:val="lowKashida"/>
        <w:rPr>
          <w:b/>
          <w:bCs/>
          <w:color w:val="000000" w:themeColor="text1"/>
          <w:sz w:val="32"/>
          <w:szCs w:val="32"/>
          <w:rtl/>
          <w:lang w:bidi="ar-EG"/>
        </w:rPr>
      </w:pPr>
      <w:r w:rsidRPr="00C85ED3">
        <w:rPr>
          <w:rFonts w:hint="cs"/>
          <w:b/>
          <w:bCs/>
          <w:color w:val="000000" w:themeColor="text1"/>
          <w:sz w:val="32"/>
          <w:szCs w:val="32"/>
          <w:rtl/>
          <w:lang w:bidi="ar-EG"/>
        </w:rPr>
        <w:lastRenderedPageBreak/>
        <w:t>7</w:t>
      </w:r>
      <w:r w:rsidR="00C65B31" w:rsidRPr="00C85ED3">
        <w:rPr>
          <w:rFonts w:hint="cs"/>
          <w:b/>
          <w:bCs/>
          <w:color w:val="000000" w:themeColor="text1"/>
          <w:sz w:val="32"/>
          <w:szCs w:val="32"/>
          <w:rtl/>
          <w:lang w:bidi="ar-EG"/>
        </w:rPr>
        <w:t>-</w:t>
      </w:r>
      <w:r w:rsidR="00ED70F4" w:rsidRPr="00C85ED3">
        <w:rPr>
          <w:rFonts w:hint="cs"/>
          <w:b/>
          <w:bCs/>
          <w:color w:val="000000" w:themeColor="text1"/>
          <w:sz w:val="32"/>
          <w:szCs w:val="32"/>
          <w:rtl/>
          <w:lang w:bidi="ar-EG"/>
        </w:rPr>
        <w:t xml:space="preserve"> </w:t>
      </w:r>
      <w:r w:rsidR="00C65B31" w:rsidRPr="00C85ED3">
        <w:rPr>
          <w:rFonts w:hint="cs"/>
          <w:b/>
          <w:bCs/>
          <w:color w:val="000000" w:themeColor="text1"/>
          <w:sz w:val="32"/>
          <w:szCs w:val="32"/>
          <w:rtl/>
          <w:lang w:bidi="ar-EG"/>
        </w:rPr>
        <w:t>النتائج:</w:t>
      </w:r>
      <w:r w:rsidR="006728B2" w:rsidRPr="00C85ED3">
        <w:rPr>
          <w:rFonts w:hint="cs"/>
          <w:b/>
          <w:bCs/>
          <w:color w:val="000000" w:themeColor="text1"/>
          <w:sz w:val="32"/>
          <w:szCs w:val="32"/>
          <w:rtl/>
          <w:lang w:bidi="ar-EG"/>
        </w:rPr>
        <w:t xml:space="preserve"> </w:t>
      </w:r>
    </w:p>
    <w:p w14:paraId="669AF271" w14:textId="77777777" w:rsidR="00C65B31" w:rsidRPr="00E24FBE" w:rsidRDefault="00C65B31" w:rsidP="00C24E42">
      <w:pPr>
        <w:ind w:firstLine="720"/>
        <w:jc w:val="lowKashida"/>
        <w:rPr>
          <w:b/>
          <w:bCs/>
          <w:color w:val="000000" w:themeColor="text1"/>
          <w:sz w:val="26"/>
          <w:szCs w:val="26"/>
          <w:rtl/>
          <w:lang w:bidi="ar-EG"/>
        </w:rPr>
      </w:pPr>
      <w:r w:rsidRPr="00E24FBE">
        <w:rPr>
          <w:rFonts w:hint="cs"/>
          <w:b/>
          <w:bCs/>
          <w:color w:val="000000" w:themeColor="text1"/>
          <w:sz w:val="26"/>
          <w:szCs w:val="26"/>
          <w:rtl/>
          <w:lang w:bidi="ar-EG"/>
        </w:rPr>
        <w:t>توصلت الباحثة من خلال الدراسة النظرية لهذه الدراسة إلى النتائج التالية:</w:t>
      </w:r>
    </w:p>
    <w:p w14:paraId="66234AEE" w14:textId="5B9D9D3A" w:rsidR="00741C5A" w:rsidRPr="003F27F0" w:rsidRDefault="00741C5A" w:rsidP="002209B2">
      <w:pPr>
        <w:pStyle w:val="ListParagraph"/>
        <w:numPr>
          <w:ilvl w:val="0"/>
          <w:numId w:val="20"/>
        </w:numPr>
        <w:ind w:left="357" w:hanging="357"/>
        <w:contextualSpacing w:val="0"/>
        <w:jc w:val="lowKashida"/>
        <w:rPr>
          <w:rFonts w:ascii="Simplified Arabic" w:eastAsia="Calibri" w:hAnsi="Simplified Arabic"/>
          <w:color w:val="000000" w:themeColor="text1"/>
          <w:sz w:val="26"/>
          <w:szCs w:val="26"/>
        </w:rPr>
      </w:pPr>
      <w:r w:rsidRPr="00E24FBE">
        <w:rPr>
          <w:rFonts w:hint="cs"/>
          <w:color w:val="000000" w:themeColor="text1"/>
          <w:sz w:val="26"/>
          <w:szCs w:val="26"/>
          <w:rtl/>
          <w:lang w:bidi="ar-EG"/>
        </w:rPr>
        <w:t xml:space="preserve">  </w:t>
      </w:r>
      <w:r w:rsidRPr="00E24FBE">
        <w:rPr>
          <w:rFonts w:ascii="Simplified Arabic" w:eastAsia="Calibri" w:hAnsi="Simplified Arabic" w:hint="cs"/>
          <w:color w:val="000000" w:themeColor="text1"/>
          <w:sz w:val="26"/>
          <w:szCs w:val="26"/>
          <w:rtl/>
        </w:rPr>
        <w:t>يتضمن الدخل الشامل كل من صافي الدخل التقليدي وبنود الدخل الشامل الآخر مما يقلل من فرص تحكم الإدارة والتلاعب في أرقام القوائم المالية الأمر الذى يزيد من موثوقية المعلومات المحاسبية.</w:t>
      </w:r>
      <w:r w:rsidRPr="003F27F0">
        <w:rPr>
          <w:rFonts w:ascii="Simplified Arabic" w:eastAsia="Calibri" w:hAnsi="Simplified Arabic" w:hint="cs"/>
          <w:color w:val="000000" w:themeColor="text1"/>
          <w:sz w:val="26"/>
          <w:szCs w:val="26"/>
          <w:rtl/>
        </w:rPr>
        <w:t xml:space="preserve">  </w:t>
      </w:r>
    </w:p>
    <w:p w14:paraId="72FE89F7" w14:textId="77777777" w:rsidR="00741C5A" w:rsidRPr="00E24FBE" w:rsidRDefault="00741C5A" w:rsidP="002209B2">
      <w:pPr>
        <w:pStyle w:val="ListParagraph"/>
        <w:numPr>
          <w:ilvl w:val="0"/>
          <w:numId w:val="20"/>
        </w:numPr>
        <w:ind w:left="357" w:hanging="357"/>
        <w:contextualSpacing w:val="0"/>
        <w:jc w:val="lowKashida"/>
        <w:rPr>
          <w:rFonts w:ascii="Simplified Arabic" w:eastAsia="Calibri" w:hAnsi="Simplified Arabic"/>
          <w:color w:val="000000" w:themeColor="text1"/>
          <w:sz w:val="26"/>
          <w:szCs w:val="26"/>
        </w:rPr>
      </w:pPr>
      <w:r w:rsidRPr="00E24FBE">
        <w:rPr>
          <w:rFonts w:ascii="Simplified Arabic" w:eastAsia="Calibri" w:hAnsi="Simplified Arabic" w:hint="cs"/>
          <w:color w:val="000000" w:themeColor="text1"/>
          <w:sz w:val="26"/>
          <w:szCs w:val="26"/>
          <w:rtl/>
        </w:rPr>
        <w:t xml:space="preserve">الإفصاح عن بنود الدخل الشامل مفيد للمستثمرين وسوق رأس المال، لأن هذه البنود لها قيمة معلوماتية تساعد </w:t>
      </w:r>
      <w:proofErr w:type="spellStart"/>
      <w:r w:rsidRPr="00E24FBE">
        <w:rPr>
          <w:rFonts w:ascii="Simplified Arabic" w:eastAsia="Calibri" w:hAnsi="Simplified Arabic" w:hint="cs"/>
          <w:color w:val="000000" w:themeColor="text1"/>
          <w:sz w:val="26"/>
          <w:szCs w:val="26"/>
          <w:rtl/>
        </w:rPr>
        <w:t>مستخدمى</w:t>
      </w:r>
      <w:proofErr w:type="spellEnd"/>
      <w:r w:rsidRPr="00E24FBE">
        <w:rPr>
          <w:rFonts w:ascii="Simplified Arabic" w:eastAsia="Calibri" w:hAnsi="Simplified Arabic" w:hint="cs"/>
          <w:color w:val="000000" w:themeColor="text1"/>
          <w:sz w:val="26"/>
          <w:szCs w:val="26"/>
          <w:rtl/>
        </w:rPr>
        <w:t xml:space="preserve"> القوائم المالية في اتخاذ قرارات الاستثمار والائتمان وهو ما يؤدى إلى تقليل المخاطر وزيادة الفرص المتاحة للمستثمرين للاستثمار في الأوراق المالية، هذا بالإضافة إلى زيادة القدرة على التنبؤ بالتدفقات النقدية التشغيلية المستقبلية.</w:t>
      </w:r>
    </w:p>
    <w:p w14:paraId="29FFAC16" w14:textId="4F9B529E" w:rsidR="00741C5A" w:rsidRPr="00E24FBE" w:rsidRDefault="00741C5A" w:rsidP="002209B2">
      <w:pPr>
        <w:pStyle w:val="ListParagraph"/>
        <w:numPr>
          <w:ilvl w:val="0"/>
          <w:numId w:val="20"/>
        </w:numPr>
        <w:ind w:left="357" w:hanging="357"/>
        <w:contextualSpacing w:val="0"/>
        <w:jc w:val="lowKashida"/>
        <w:rPr>
          <w:rFonts w:ascii="Simplified Arabic" w:eastAsia="Calibri" w:hAnsi="Simplified Arabic"/>
          <w:color w:val="000000" w:themeColor="text1"/>
          <w:sz w:val="26"/>
          <w:szCs w:val="26"/>
        </w:rPr>
      </w:pPr>
      <w:proofErr w:type="spellStart"/>
      <w:r w:rsidRPr="00E24FBE">
        <w:rPr>
          <w:rFonts w:ascii="Simplified Arabic" w:eastAsia="Calibri" w:hAnsi="Simplified Arabic" w:hint="cs"/>
          <w:color w:val="000000" w:themeColor="text1"/>
          <w:sz w:val="26"/>
          <w:szCs w:val="26"/>
          <w:rtl/>
        </w:rPr>
        <w:t>إجمالى</w:t>
      </w:r>
      <w:proofErr w:type="spellEnd"/>
      <w:r w:rsidRPr="00E24FBE">
        <w:rPr>
          <w:rFonts w:ascii="Simplified Arabic" w:eastAsia="Calibri" w:hAnsi="Simplified Arabic" w:hint="cs"/>
          <w:color w:val="000000" w:themeColor="text1"/>
          <w:sz w:val="26"/>
          <w:szCs w:val="26"/>
          <w:rtl/>
        </w:rPr>
        <w:t xml:space="preserve"> الدخل الشامل يُعد مقياساً أفضل للأداء مقارنة </w:t>
      </w:r>
      <w:proofErr w:type="spellStart"/>
      <w:r w:rsidRPr="00E24FBE">
        <w:rPr>
          <w:rFonts w:ascii="Simplified Arabic" w:eastAsia="Calibri" w:hAnsi="Simplified Arabic" w:hint="cs"/>
          <w:color w:val="000000" w:themeColor="text1"/>
          <w:sz w:val="26"/>
          <w:szCs w:val="26"/>
          <w:rtl/>
        </w:rPr>
        <w:t>بصافى</w:t>
      </w:r>
      <w:proofErr w:type="spellEnd"/>
      <w:r w:rsidRPr="00E24FBE">
        <w:rPr>
          <w:rFonts w:ascii="Simplified Arabic" w:eastAsia="Calibri" w:hAnsi="Simplified Arabic" w:hint="cs"/>
          <w:color w:val="000000" w:themeColor="text1"/>
          <w:sz w:val="26"/>
          <w:szCs w:val="26"/>
          <w:rtl/>
        </w:rPr>
        <w:t xml:space="preserve"> الدخل التقليدي خاصة اذا ما تم الإفصاح عنه في قائمة مستقلة لأنه يؤدى إلى زيادة المحتوى </w:t>
      </w:r>
      <w:proofErr w:type="spellStart"/>
      <w:r w:rsidRPr="00E24FBE">
        <w:rPr>
          <w:rFonts w:ascii="Simplified Arabic" w:eastAsia="Calibri" w:hAnsi="Simplified Arabic" w:hint="cs"/>
          <w:color w:val="000000" w:themeColor="text1"/>
          <w:sz w:val="26"/>
          <w:szCs w:val="26"/>
          <w:rtl/>
        </w:rPr>
        <w:t>المعلوماتى</w:t>
      </w:r>
      <w:proofErr w:type="spellEnd"/>
      <w:r w:rsidRPr="00E24FBE">
        <w:rPr>
          <w:rFonts w:ascii="Simplified Arabic" w:eastAsia="Calibri" w:hAnsi="Simplified Arabic" w:hint="cs"/>
          <w:color w:val="000000" w:themeColor="text1"/>
          <w:sz w:val="26"/>
          <w:szCs w:val="26"/>
          <w:rtl/>
        </w:rPr>
        <w:t xml:space="preserve"> للقوائم المالية مما يساعد على زيادة فهم أنشطة المنشأة.</w:t>
      </w:r>
    </w:p>
    <w:p w14:paraId="50799C70" w14:textId="77777777" w:rsidR="00741C5A" w:rsidRPr="00E24FBE" w:rsidRDefault="00741C5A" w:rsidP="002209B2">
      <w:pPr>
        <w:pStyle w:val="ListParagraph"/>
        <w:numPr>
          <w:ilvl w:val="0"/>
          <w:numId w:val="20"/>
        </w:numPr>
        <w:ind w:left="357" w:hanging="357"/>
        <w:contextualSpacing w:val="0"/>
        <w:jc w:val="lowKashida"/>
        <w:rPr>
          <w:rFonts w:ascii="Simplified Arabic" w:eastAsia="Calibri" w:hAnsi="Simplified Arabic"/>
          <w:color w:val="000000" w:themeColor="text1"/>
          <w:spacing w:val="-6"/>
          <w:sz w:val="26"/>
          <w:szCs w:val="26"/>
          <w:rtl/>
        </w:rPr>
      </w:pPr>
      <w:r w:rsidRPr="00E24FBE">
        <w:rPr>
          <w:rFonts w:ascii="Simplified Arabic" w:eastAsia="Calibri" w:hAnsi="Simplified Arabic" w:hint="cs"/>
          <w:color w:val="000000" w:themeColor="text1"/>
          <w:spacing w:val="-6"/>
          <w:sz w:val="26"/>
          <w:szCs w:val="26"/>
          <w:rtl/>
        </w:rPr>
        <w:t xml:space="preserve">أهمية الإفصاح المحاسبي عن بنود الدخل الشامل الآخر في القوائم المالية لأنه يحسن من مستوى الإفصاح والشفافية والتي تنعكس بدورها على سعر السهم في سوق الأوراق المالية ومن ثم </w:t>
      </w:r>
      <w:r w:rsidRPr="00E24FBE">
        <w:rPr>
          <w:rFonts w:ascii="Simplified Arabic" w:eastAsia="Calibri" w:hAnsi="Simplified Arabic" w:hint="cs"/>
          <w:color w:val="000000" w:themeColor="text1"/>
          <w:spacing w:val="-6"/>
          <w:sz w:val="26"/>
          <w:szCs w:val="26"/>
          <w:rtl/>
          <w:lang w:bidi="ar-EG"/>
        </w:rPr>
        <w:t>تعزيز كفاءة سوق الأوراق المالية، وهو ما يؤدى إلى مساعدة المستثمرين على اتخاذ قرارات رشيدة.</w:t>
      </w:r>
      <w:r w:rsidRPr="00E24FBE">
        <w:rPr>
          <w:rFonts w:ascii="Simplified Arabic" w:eastAsia="Calibri" w:hAnsi="Simplified Arabic" w:hint="cs"/>
          <w:color w:val="000000" w:themeColor="text1"/>
          <w:spacing w:val="-6"/>
          <w:sz w:val="26"/>
          <w:szCs w:val="26"/>
          <w:rtl/>
        </w:rPr>
        <w:t xml:space="preserve"> </w:t>
      </w:r>
    </w:p>
    <w:p w14:paraId="71B7D742" w14:textId="353DAB53" w:rsidR="00C65B31" w:rsidRPr="00C85ED3" w:rsidRDefault="00DD0DBF" w:rsidP="00C24E42">
      <w:pPr>
        <w:jc w:val="lowKashida"/>
        <w:rPr>
          <w:b/>
          <w:bCs/>
          <w:color w:val="000000" w:themeColor="text1"/>
          <w:sz w:val="32"/>
          <w:szCs w:val="32"/>
          <w:rtl/>
          <w:lang w:bidi="ar-EG"/>
        </w:rPr>
      </w:pPr>
      <w:r w:rsidRPr="00C85ED3">
        <w:rPr>
          <w:rFonts w:hint="cs"/>
          <w:b/>
          <w:bCs/>
          <w:color w:val="000000" w:themeColor="text1"/>
          <w:sz w:val="32"/>
          <w:szCs w:val="32"/>
          <w:rtl/>
          <w:lang w:bidi="ar-EG"/>
        </w:rPr>
        <w:t>8</w:t>
      </w:r>
      <w:r w:rsidR="00C65B31" w:rsidRPr="00C85ED3">
        <w:rPr>
          <w:rFonts w:hint="cs"/>
          <w:b/>
          <w:bCs/>
          <w:color w:val="000000" w:themeColor="text1"/>
          <w:sz w:val="32"/>
          <w:szCs w:val="32"/>
          <w:rtl/>
          <w:lang w:bidi="ar-EG"/>
        </w:rPr>
        <w:t>-</w:t>
      </w:r>
      <w:r w:rsidR="00ED70F4" w:rsidRPr="00C85ED3">
        <w:rPr>
          <w:rFonts w:hint="cs"/>
          <w:b/>
          <w:bCs/>
          <w:color w:val="000000" w:themeColor="text1"/>
          <w:sz w:val="32"/>
          <w:szCs w:val="32"/>
          <w:rtl/>
          <w:lang w:bidi="ar-EG"/>
        </w:rPr>
        <w:t xml:space="preserve"> </w:t>
      </w:r>
      <w:r w:rsidR="00C65B31" w:rsidRPr="00C85ED3">
        <w:rPr>
          <w:rFonts w:hint="cs"/>
          <w:b/>
          <w:bCs/>
          <w:color w:val="000000" w:themeColor="text1"/>
          <w:sz w:val="32"/>
          <w:szCs w:val="32"/>
          <w:rtl/>
          <w:lang w:bidi="ar-EG"/>
        </w:rPr>
        <w:t xml:space="preserve">التوصيات: </w:t>
      </w:r>
    </w:p>
    <w:p w14:paraId="34C9ECE6" w14:textId="6B3C854C" w:rsidR="00C65B31" w:rsidRPr="00E24FBE" w:rsidRDefault="00C65B31" w:rsidP="00C24E42">
      <w:pPr>
        <w:ind w:left="360"/>
        <w:jc w:val="lowKashida"/>
        <w:rPr>
          <w:b/>
          <w:bCs/>
          <w:color w:val="000000" w:themeColor="text1"/>
          <w:sz w:val="26"/>
          <w:szCs w:val="26"/>
          <w:rtl/>
          <w:lang w:bidi="ar-EG"/>
        </w:rPr>
      </w:pPr>
      <w:r w:rsidRPr="00E24FBE">
        <w:rPr>
          <w:rFonts w:hint="cs"/>
          <w:b/>
          <w:bCs/>
          <w:color w:val="000000" w:themeColor="text1"/>
          <w:sz w:val="26"/>
          <w:szCs w:val="26"/>
          <w:rtl/>
          <w:lang w:bidi="ar-EG"/>
        </w:rPr>
        <w:t>توصى الباحثة من خلال نتائج الدراسة النظرية و</w:t>
      </w:r>
      <w:r w:rsidR="00741C5A" w:rsidRPr="00E24FBE">
        <w:rPr>
          <w:rFonts w:hint="cs"/>
          <w:b/>
          <w:bCs/>
          <w:color w:val="000000" w:themeColor="text1"/>
          <w:sz w:val="26"/>
          <w:szCs w:val="26"/>
          <w:rtl/>
          <w:lang w:bidi="ar-EG"/>
        </w:rPr>
        <w:t xml:space="preserve">الاختبارية </w:t>
      </w:r>
      <w:r w:rsidRPr="00E24FBE">
        <w:rPr>
          <w:rFonts w:hint="cs"/>
          <w:b/>
          <w:bCs/>
          <w:color w:val="000000" w:themeColor="text1"/>
          <w:sz w:val="26"/>
          <w:szCs w:val="26"/>
          <w:rtl/>
          <w:lang w:bidi="ar-EG"/>
        </w:rPr>
        <w:t>لهذه الدراسة إلى ما يلى:</w:t>
      </w:r>
    </w:p>
    <w:p w14:paraId="16D1F0D6" w14:textId="6AA67106" w:rsidR="00741C5A" w:rsidRPr="00E24FBE" w:rsidRDefault="00741C5A" w:rsidP="002209B2">
      <w:pPr>
        <w:pStyle w:val="ListParagraph"/>
        <w:numPr>
          <w:ilvl w:val="0"/>
          <w:numId w:val="21"/>
        </w:numPr>
        <w:ind w:left="357" w:hanging="357"/>
        <w:contextualSpacing w:val="0"/>
        <w:jc w:val="lowKashida"/>
        <w:rPr>
          <w:rFonts w:ascii="Simplified Arabic" w:eastAsia="Calibri" w:hAnsi="Simplified Arabic"/>
          <w:color w:val="000000" w:themeColor="text1"/>
          <w:sz w:val="26"/>
          <w:szCs w:val="26"/>
          <w:lang w:bidi="ar-EG"/>
        </w:rPr>
      </w:pPr>
      <w:r w:rsidRPr="00E24FBE">
        <w:rPr>
          <w:rFonts w:ascii="Simplified Arabic" w:eastAsia="Calibri" w:hAnsi="Simplified Arabic" w:hint="cs"/>
          <w:color w:val="000000" w:themeColor="text1"/>
          <w:sz w:val="26"/>
          <w:szCs w:val="26"/>
          <w:rtl/>
          <w:lang w:bidi="ar-EG"/>
        </w:rPr>
        <w:t>إلزام منشآت الأعمال المدرجة في سوق الأوراق المالية المصرية بالإفصاح عن بنود الدخل الشامل الآخر ضمن قائمة منفصلة عن قائمة الدخل التقليدية وهو ما يساعد في زيادة شفافية القوائم المالية.</w:t>
      </w:r>
    </w:p>
    <w:p w14:paraId="0F10F4EC" w14:textId="77777777" w:rsidR="00741C5A" w:rsidRPr="00E24FBE" w:rsidRDefault="00741C5A" w:rsidP="002209B2">
      <w:pPr>
        <w:pStyle w:val="ListParagraph"/>
        <w:numPr>
          <w:ilvl w:val="0"/>
          <w:numId w:val="21"/>
        </w:numPr>
        <w:ind w:left="357" w:hanging="357"/>
        <w:contextualSpacing w:val="0"/>
        <w:jc w:val="lowKashida"/>
        <w:rPr>
          <w:rFonts w:ascii="Simplified Arabic" w:eastAsia="Calibri" w:hAnsi="Simplified Arabic"/>
          <w:color w:val="000000" w:themeColor="text1"/>
          <w:sz w:val="26"/>
          <w:szCs w:val="26"/>
          <w:lang w:bidi="ar-EG"/>
        </w:rPr>
      </w:pPr>
      <w:r w:rsidRPr="00E24FBE">
        <w:rPr>
          <w:rFonts w:ascii="Simplified Arabic" w:eastAsia="Calibri" w:hAnsi="Simplified Arabic" w:hint="cs"/>
          <w:color w:val="000000" w:themeColor="text1"/>
          <w:sz w:val="26"/>
          <w:szCs w:val="26"/>
          <w:rtl/>
          <w:lang w:bidi="ar-EG"/>
        </w:rPr>
        <w:t>ضرورة الأخذ بالدخل الشامل كمقياس للأداء إلى جانب صافى الدخل التقليدي وذلك لأنه يتضمن جميع مصادر تعظيم القيمة ومن ثم يفيد في توفير معلومات ملائمة لمستخدمي القوائم المالية خاصة المستثمرين والمحللين الماليين.</w:t>
      </w:r>
    </w:p>
    <w:p w14:paraId="1890B789" w14:textId="77777777" w:rsidR="00741C5A" w:rsidRPr="00E24FBE" w:rsidRDefault="00741C5A" w:rsidP="002209B2">
      <w:pPr>
        <w:pStyle w:val="ListParagraph"/>
        <w:numPr>
          <w:ilvl w:val="0"/>
          <w:numId w:val="21"/>
        </w:numPr>
        <w:ind w:left="357" w:hanging="357"/>
        <w:contextualSpacing w:val="0"/>
        <w:jc w:val="lowKashida"/>
        <w:rPr>
          <w:rFonts w:ascii="Simplified Arabic" w:eastAsia="Calibri" w:hAnsi="Simplified Arabic"/>
          <w:color w:val="000000" w:themeColor="text1"/>
          <w:sz w:val="26"/>
          <w:szCs w:val="26"/>
          <w:lang w:bidi="ar-EG"/>
        </w:rPr>
      </w:pPr>
      <w:r w:rsidRPr="00E24FBE">
        <w:rPr>
          <w:rFonts w:ascii="Simplified Arabic" w:eastAsia="Calibri" w:hAnsi="Simplified Arabic" w:hint="cs"/>
          <w:color w:val="000000" w:themeColor="text1"/>
          <w:sz w:val="26"/>
          <w:szCs w:val="26"/>
          <w:rtl/>
          <w:lang w:bidi="ar-EG"/>
        </w:rPr>
        <w:t>نشر الوعى بأهمية الإفصاح عن بنود الدخل الشامل الآخر وذلك من خلال عقد دورات تدريبية للمحاسبين والمحللين الماليين والمراجعين وغيرهم من المستخدمين والاهتمام بالتطورات المستمرة في المعايير المحاسبية.</w:t>
      </w:r>
    </w:p>
    <w:p w14:paraId="02DDC649" w14:textId="77777777" w:rsidR="00741C5A" w:rsidRDefault="00741C5A" w:rsidP="002209B2">
      <w:pPr>
        <w:pStyle w:val="ListParagraph"/>
        <w:numPr>
          <w:ilvl w:val="0"/>
          <w:numId w:val="21"/>
        </w:numPr>
        <w:ind w:left="357" w:hanging="357"/>
        <w:contextualSpacing w:val="0"/>
        <w:jc w:val="lowKashida"/>
        <w:rPr>
          <w:rFonts w:ascii="Simplified Arabic" w:eastAsia="Calibri" w:hAnsi="Simplified Arabic"/>
          <w:color w:val="000000" w:themeColor="text1"/>
          <w:sz w:val="26"/>
          <w:szCs w:val="26"/>
          <w:lang w:bidi="ar-EG"/>
        </w:rPr>
      </w:pPr>
      <w:r w:rsidRPr="00E24FBE">
        <w:rPr>
          <w:rFonts w:ascii="Simplified Arabic" w:eastAsia="Calibri" w:hAnsi="Simplified Arabic" w:hint="cs"/>
          <w:color w:val="000000" w:themeColor="text1"/>
          <w:sz w:val="26"/>
          <w:szCs w:val="26"/>
          <w:rtl/>
          <w:lang w:bidi="ar-EG"/>
        </w:rPr>
        <w:t>التوسع في الإفصاح عن الدخل الشامل لما له من مردود إيجابي على أسعار الأسهم في سوق الأوراق المالية المصرية.</w:t>
      </w:r>
    </w:p>
    <w:p w14:paraId="1C4E115F" w14:textId="77777777" w:rsidR="00175BF2" w:rsidRPr="00175BF2" w:rsidRDefault="00175BF2" w:rsidP="00175BF2">
      <w:pPr>
        <w:jc w:val="lowKashida"/>
        <w:rPr>
          <w:rFonts w:ascii="Simplified Arabic" w:eastAsia="Calibri" w:hAnsi="Simplified Arabic"/>
          <w:color w:val="000000" w:themeColor="text1"/>
          <w:sz w:val="26"/>
          <w:szCs w:val="26"/>
          <w:lang w:bidi="ar-EG"/>
        </w:rPr>
      </w:pPr>
    </w:p>
    <w:p w14:paraId="44CE4A70" w14:textId="77777777" w:rsidR="00175BF2" w:rsidRDefault="00175BF2">
      <w:pPr>
        <w:bidi w:val="0"/>
        <w:rPr>
          <w:b/>
          <w:bCs/>
          <w:color w:val="000000" w:themeColor="text1"/>
          <w:rtl/>
          <w:lang w:bidi="ar-EG"/>
        </w:rPr>
      </w:pPr>
      <w:r>
        <w:rPr>
          <w:b/>
          <w:bCs/>
          <w:color w:val="000000" w:themeColor="text1"/>
          <w:rtl/>
          <w:lang w:bidi="ar-EG"/>
        </w:rPr>
        <w:br w:type="page"/>
      </w:r>
    </w:p>
    <w:p w14:paraId="26677109" w14:textId="1A08B64F" w:rsidR="00C65B31" w:rsidRPr="00C85ED3" w:rsidRDefault="00DD0DBF" w:rsidP="00C24E42">
      <w:pPr>
        <w:jc w:val="lowKashida"/>
        <w:rPr>
          <w:b/>
          <w:bCs/>
          <w:color w:val="000000" w:themeColor="text1"/>
          <w:sz w:val="32"/>
          <w:szCs w:val="32"/>
          <w:rtl/>
          <w:lang w:bidi="ar-EG"/>
        </w:rPr>
      </w:pPr>
      <w:r w:rsidRPr="00C85ED3">
        <w:rPr>
          <w:rFonts w:hint="cs"/>
          <w:b/>
          <w:bCs/>
          <w:color w:val="000000" w:themeColor="text1"/>
          <w:sz w:val="32"/>
          <w:szCs w:val="32"/>
          <w:rtl/>
          <w:lang w:bidi="ar-EG"/>
        </w:rPr>
        <w:lastRenderedPageBreak/>
        <w:t>9</w:t>
      </w:r>
      <w:r w:rsidR="00C65B31" w:rsidRPr="00C85ED3">
        <w:rPr>
          <w:rFonts w:hint="cs"/>
          <w:b/>
          <w:bCs/>
          <w:color w:val="000000" w:themeColor="text1"/>
          <w:sz w:val="32"/>
          <w:szCs w:val="32"/>
          <w:rtl/>
          <w:lang w:bidi="ar-EG"/>
        </w:rPr>
        <w:t xml:space="preserve">-المراجع: </w:t>
      </w:r>
    </w:p>
    <w:p w14:paraId="3FEF9CB6" w14:textId="12D567B9" w:rsidR="000F0CAB" w:rsidRPr="00C85ED3" w:rsidRDefault="000F0CAB" w:rsidP="00C24E42">
      <w:pPr>
        <w:jc w:val="lowKashida"/>
        <w:rPr>
          <w:b/>
          <w:bCs/>
          <w:color w:val="000000" w:themeColor="text1"/>
          <w:rtl/>
          <w:lang w:bidi="ar-EG"/>
        </w:rPr>
      </w:pPr>
      <w:r w:rsidRPr="00C85ED3">
        <w:rPr>
          <w:rFonts w:hint="cs"/>
          <w:b/>
          <w:bCs/>
          <w:color w:val="000000" w:themeColor="text1"/>
          <w:rtl/>
          <w:lang w:bidi="ar-EG"/>
        </w:rPr>
        <w:t>المراجع باللغة العربية:</w:t>
      </w:r>
    </w:p>
    <w:p w14:paraId="4DFB4B28" w14:textId="77777777" w:rsidR="004D722B" w:rsidRPr="00E24FBE" w:rsidRDefault="004D722B" w:rsidP="002209B2">
      <w:pPr>
        <w:pStyle w:val="FootnoteText"/>
        <w:numPr>
          <w:ilvl w:val="0"/>
          <w:numId w:val="22"/>
        </w:numPr>
        <w:ind w:left="371" w:hanging="371"/>
        <w:jc w:val="lowKashida"/>
        <w:rPr>
          <w:rFonts w:ascii="Times New Roman" w:hAnsi="Times New Roman" w:cs="Simplified Arabic"/>
          <w:color w:val="000000" w:themeColor="text1"/>
          <w:sz w:val="26"/>
          <w:szCs w:val="26"/>
          <w:lang w:bidi="ar-EG"/>
        </w:rPr>
      </w:pPr>
      <w:r w:rsidRPr="00E24FBE">
        <w:rPr>
          <w:rFonts w:ascii="Times New Roman" w:hAnsi="Times New Roman" w:cs="Simplified Arabic" w:hint="cs"/>
          <w:color w:val="000000" w:themeColor="text1"/>
          <w:sz w:val="26"/>
          <w:szCs w:val="26"/>
          <w:rtl/>
          <w:lang w:bidi="ar-EG"/>
        </w:rPr>
        <w:t xml:space="preserve">أبو النصر، صلاح، (2016)، "العوامل المؤثرة على أسعار الأسهم في سوق المال </w:t>
      </w:r>
      <w:proofErr w:type="spellStart"/>
      <w:r w:rsidRPr="00E24FBE">
        <w:rPr>
          <w:rFonts w:ascii="Times New Roman" w:hAnsi="Times New Roman" w:cs="Simplified Arabic" w:hint="cs"/>
          <w:color w:val="000000" w:themeColor="text1"/>
          <w:sz w:val="26"/>
          <w:szCs w:val="26"/>
          <w:rtl/>
          <w:lang w:bidi="ar-EG"/>
        </w:rPr>
        <w:t>السعودى</w:t>
      </w:r>
      <w:proofErr w:type="spellEnd"/>
      <w:r w:rsidRPr="00E24FBE">
        <w:rPr>
          <w:rFonts w:ascii="Times New Roman" w:hAnsi="Times New Roman" w:cs="Simplified Arabic" w:hint="cs"/>
          <w:color w:val="000000" w:themeColor="text1"/>
          <w:sz w:val="26"/>
          <w:szCs w:val="26"/>
          <w:rtl/>
          <w:lang w:bidi="ar-EG"/>
        </w:rPr>
        <w:t xml:space="preserve">: دراسة قياسية"، </w:t>
      </w:r>
      <w:r w:rsidRPr="00E24FBE">
        <w:rPr>
          <w:rFonts w:ascii="Times New Roman" w:hAnsi="Times New Roman" w:cs="Simplified Arabic" w:hint="cs"/>
          <w:b/>
          <w:bCs/>
          <w:color w:val="000000" w:themeColor="text1"/>
          <w:sz w:val="26"/>
          <w:szCs w:val="26"/>
          <w:rtl/>
          <w:lang w:bidi="ar-EG"/>
        </w:rPr>
        <w:t xml:space="preserve">مجلة كلية </w:t>
      </w:r>
      <w:proofErr w:type="spellStart"/>
      <w:r w:rsidRPr="00E24FBE">
        <w:rPr>
          <w:rFonts w:ascii="Times New Roman" w:hAnsi="Times New Roman" w:cs="Simplified Arabic" w:hint="cs"/>
          <w:b/>
          <w:bCs/>
          <w:color w:val="000000" w:themeColor="text1"/>
          <w:sz w:val="26"/>
          <w:szCs w:val="26"/>
          <w:rtl/>
          <w:lang w:bidi="ar-EG"/>
        </w:rPr>
        <w:t>الإقتصاد</w:t>
      </w:r>
      <w:proofErr w:type="spellEnd"/>
      <w:r w:rsidRPr="00E24FBE">
        <w:rPr>
          <w:rFonts w:ascii="Times New Roman" w:hAnsi="Times New Roman" w:cs="Simplified Arabic" w:hint="cs"/>
          <w:b/>
          <w:bCs/>
          <w:color w:val="000000" w:themeColor="text1"/>
          <w:sz w:val="26"/>
          <w:szCs w:val="26"/>
          <w:rtl/>
          <w:lang w:bidi="ar-EG"/>
        </w:rPr>
        <w:t xml:space="preserve"> والعلوم السياسية</w:t>
      </w:r>
      <w:r w:rsidRPr="00E24FBE">
        <w:rPr>
          <w:rFonts w:ascii="Times New Roman" w:hAnsi="Times New Roman" w:cs="Simplified Arabic" w:hint="cs"/>
          <w:color w:val="000000" w:themeColor="text1"/>
          <w:sz w:val="26"/>
          <w:szCs w:val="26"/>
          <w:rtl/>
          <w:lang w:bidi="ar-EG"/>
        </w:rPr>
        <w:t>، كلية الاقتصاد والعلوم السياسية، جامعة القاهرة، المجلد السابع عشر، العدد الثالث، 7-33.</w:t>
      </w:r>
    </w:p>
    <w:p w14:paraId="3C7F11AD" w14:textId="77777777" w:rsidR="004D722B" w:rsidRPr="00E24FBE" w:rsidRDefault="004D722B" w:rsidP="002209B2">
      <w:pPr>
        <w:pStyle w:val="FootnoteText"/>
        <w:numPr>
          <w:ilvl w:val="0"/>
          <w:numId w:val="22"/>
        </w:numPr>
        <w:ind w:left="371" w:hanging="371"/>
        <w:jc w:val="lowKashida"/>
        <w:rPr>
          <w:rFonts w:ascii="Times New Roman" w:hAnsi="Times New Roman" w:cs="Simplified Arabic"/>
          <w:color w:val="000000" w:themeColor="text1"/>
          <w:sz w:val="26"/>
          <w:szCs w:val="26"/>
        </w:rPr>
      </w:pPr>
      <w:r w:rsidRPr="00E24FBE">
        <w:rPr>
          <w:rFonts w:ascii="Times New Roman" w:hAnsi="Times New Roman" w:cs="Simplified Arabic" w:hint="cs"/>
          <w:color w:val="000000" w:themeColor="text1"/>
          <w:sz w:val="26"/>
          <w:szCs w:val="26"/>
          <w:rtl/>
        </w:rPr>
        <w:t xml:space="preserve">إسماعيل، لمياء شهاب النمر، (2020)، </w:t>
      </w:r>
      <w:r w:rsidRPr="00E24FBE">
        <w:rPr>
          <w:rFonts w:ascii="Times New Roman" w:hAnsi="Times New Roman" w:cs="Simplified Arabic"/>
          <w:color w:val="000000" w:themeColor="text1"/>
          <w:sz w:val="26"/>
          <w:szCs w:val="26"/>
          <w:rtl/>
        </w:rPr>
        <w:t>"</w:t>
      </w:r>
      <w:r w:rsidRPr="00E24FBE">
        <w:rPr>
          <w:rFonts w:ascii="Times New Roman" w:hAnsi="Times New Roman" w:cs="Simplified Arabic" w:hint="cs"/>
          <w:color w:val="000000" w:themeColor="text1"/>
          <w:sz w:val="26"/>
          <w:szCs w:val="26"/>
          <w:rtl/>
        </w:rPr>
        <w:t xml:space="preserve">أثر الإفصاح عن قائمة الدخل الشامل على فاعلية إدارة المخاطر في ضوء تعديلات معايير المحاسبة المصرية 2019"، </w:t>
      </w:r>
      <w:r w:rsidRPr="00E24FBE">
        <w:rPr>
          <w:rFonts w:ascii="Times New Roman" w:hAnsi="Times New Roman" w:cs="Simplified Arabic" w:hint="cs"/>
          <w:b/>
          <w:bCs/>
          <w:color w:val="000000" w:themeColor="text1"/>
          <w:sz w:val="26"/>
          <w:szCs w:val="26"/>
          <w:rtl/>
        </w:rPr>
        <w:t xml:space="preserve">مجلة رماح للبحوث المحاسبية، </w:t>
      </w:r>
      <w:r w:rsidRPr="00E24FBE">
        <w:rPr>
          <w:rFonts w:ascii="Times New Roman" w:hAnsi="Times New Roman" w:cs="Simplified Arabic" w:hint="cs"/>
          <w:color w:val="000000" w:themeColor="text1"/>
          <w:sz w:val="26"/>
          <w:szCs w:val="26"/>
          <w:rtl/>
        </w:rPr>
        <w:t xml:space="preserve">مركز البحث وتطوير الموارد البشرية، الأردن، العدد </w:t>
      </w:r>
      <w:proofErr w:type="spellStart"/>
      <w:r w:rsidRPr="00E24FBE">
        <w:rPr>
          <w:rFonts w:ascii="Times New Roman" w:hAnsi="Times New Roman" w:cs="Simplified Arabic" w:hint="cs"/>
          <w:color w:val="000000" w:themeColor="text1"/>
          <w:sz w:val="26"/>
          <w:szCs w:val="26"/>
          <w:rtl/>
        </w:rPr>
        <w:t>الثانى</w:t>
      </w:r>
      <w:proofErr w:type="spellEnd"/>
      <w:r w:rsidRPr="00E24FBE">
        <w:rPr>
          <w:rFonts w:ascii="Times New Roman" w:hAnsi="Times New Roman" w:cs="Simplified Arabic" w:hint="cs"/>
          <w:color w:val="000000" w:themeColor="text1"/>
          <w:sz w:val="26"/>
          <w:szCs w:val="26"/>
          <w:rtl/>
        </w:rPr>
        <w:t xml:space="preserve"> والأربعون، 79-100.</w:t>
      </w:r>
    </w:p>
    <w:p w14:paraId="71D5F302" w14:textId="77777777" w:rsidR="004D722B" w:rsidRPr="00E24FBE" w:rsidRDefault="004D722B" w:rsidP="002209B2">
      <w:pPr>
        <w:pStyle w:val="FootnoteText"/>
        <w:numPr>
          <w:ilvl w:val="0"/>
          <w:numId w:val="22"/>
        </w:numPr>
        <w:ind w:left="371" w:hanging="371"/>
        <w:jc w:val="lowKashida"/>
        <w:rPr>
          <w:rFonts w:ascii="Times New Roman" w:hAnsi="Times New Roman" w:cs="Simplified Arabic"/>
          <w:color w:val="000000" w:themeColor="text1"/>
          <w:sz w:val="26"/>
          <w:szCs w:val="26"/>
          <w:lang w:bidi="ar-EG"/>
        </w:rPr>
      </w:pPr>
      <w:r w:rsidRPr="00E24FBE">
        <w:rPr>
          <w:rFonts w:ascii="Times New Roman" w:hAnsi="Times New Roman" w:cs="Simplified Arabic" w:hint="cs"/>
          <w:color w:val="000000" w:themeColor="text1"/>
          <w:sz w:val="26"/>
          <w:szCs w:val="26"/>
          <w:rtl/>
        </w:rPr>
        <w:t xml:space="preserve">بلال، </w:t>
      </w:r>
      <w:r w:rsidRPr="00E24FBE">
        <w:rPr>
          <w:rFonts w:ascii="Times New Roman" w:hAnsi="Times New Roman" w:cs="Simplified Arabic" w:hint="cs"/>
          <w:color w:val="000000" w:themeColor="text1"/>
          <w:sz w:val="26"/>
          <w:szCs w:val="26"/>
          <w:rtl/>
          <w:lang w:bidi="ar-EG"/>
        </w:rPr>
        <w:t>السيد حسن سالم، (2019)، "الملاءمة القيمية لبدائل عرض الدخل الشامل: دراسة اختبارية على الشركات المساهمة السعودية</w:t>
      </w:r>
      <w:r w:rsidRPr="00E24FBE">
        <w:rPr>
          <w:rFonts w:ascii="Times New Roman" w:hAnsi="Times New Roman" w:cs="Simplified Arabic"/>
          <w:color w:val="000000" w:themeColor="text1"/>
          <w:sz w:val="26"/>
          <w:szCs w:val="26"/>
          <w:rtl/>
          <w:lang w:bidi="ar-EG"/>
        </w:rPr>
        <w:t>"</w:t>
      </w:r>
      <w:r w:rsidRPr="00E24FBE">
        <w:rPr>
          <w:rFonts w:ascii="Times New Roman" w:hAnsi="Times New Roman" w:cs="Simplified Arabic" w:hint="cs"/>
          <w:color w:val="000000" w:themeColor="text1"/>
          <w:sz w:val="26"/>
          <w:szCs w:val="26"/>
          <w:rtl/>
          <w:lang w:bidi="ar-EG"/>
        </w:rPr>
        <w:t xml:space="preserve">، </w:t>
      </w:r>
      <w:r w:rsidRPr="00E24FBE">
        <w:rPr>
          <w:rFonts w:ascii="Times New Roman" w:hAnsi="Times New Roman" w:cs="Simplified Arabic" w:hint="cs"/>
          <w:b/>
          <w:bCs/>
          <w:color w:val="000000" w:themeColor="text1"/>
          <w:sz w:val="26"/>
          <w:szCs w:val="26"/>
          <w:rtl/>
          <w:lang w:bidi="ar-EG"/>
        </w:rPr>
        <w:t xml:space="preserve">مجلة الفكر </w:t>
      </w:r>
      <w:proofErr w:type="spellStart"/>
      <w:r w:rsidRPr="00E24FBE">
        <w:rPr>
          <w:rFonts w:ascii="Times New Roman" w:hAnsi="Times New Roman" w:cs="Simplified Arabic" w:hint="cs"/>
          <w:b/>
          <w:bCs/>
          <w:color w:val="000000" w:themeColor="text1"/>
          <w:sz w:val="26"/>
          <w:szCs w:val="26"/>
          <w:rtl/>
          <w:lang w:bidi="ar-EG"/>
        </w:rPr>
        <w:t>المحاسبى</w:t>
      </w:r>
      <w:proofErr w:type="spellEnd"/>
      <w:r w:rsidRPr="00E24FBE">
        <w:rPr>
          <w:rFonts w:ascii="Times New Roman" w:hAnsi="Times New Roman" w:cs="Simplified Arabic" w:hint="cs"/>
          <w:color w:val="000000" w:themeColor="text1"/>
          <w:sz w:val="26"/>
          <w:szCs w:val="26"/>
          <w:rtl/>
          <w:lang w:bidi="ar-EG"/>
        </w:rPr>
        <w:t xml:space="preserve">، كلية التجارة، جامعة عين شمس، المجلد الثالث والعشرون، العدد </w:t>
      </w:r>
      <w:proofErr w:type="spellStart"/>
      <w:r w:rsidRPr="00E24FBE">
        <w:rPr>
          <w:rFonts w:ascii="Times New Roman" w:hAnsi="Times New Roman" w:cs="Simplified Arabic" w:hint="cs"/>
          <w:color w:val="000000" w:themeColor="text1"/>
          <w:sz w:val="26"/>
          <w:szCs w:val="26"/>
          <w:rtl/>
          <w:lang w:bidi="ar-EG"/>
        </w:rPr>
        <w:t>الثانى</w:t>
      </w:r>
      <w:proofErr w:type="spellEnd"/>
      <w:r w:rsidRPr="00E24FBE">
        <w:rPr>
          <w:rFonts w:ascii="Times New Roman" w:hAnsi="Times New Roman" w:cs="Simplified Arabic" w:hint="cs"/>
          <w:color w:val="000000" w:themeColor="text1"/>
          <w:sz w:val="26"/>
          <w:szCs w:val="26"/>
          <w:rtl/>
          <w:lang w:bidi="ar-EG"/>
        </w:rPr>
        <w:t>، 1-16.</w:t>
      </w:r>
    </w:p>
    <w:p w14:paraId="37D899C6" w14:textId="77777777" w:rsidR="004D722B" w:rsidRPr="00E24FBE" w:rsidRDefault="004D722B" w:rsidP="00C85ED3">
      <w:pPr>
        <w:pStyle w:val="FootnoteText"/>
        <w:numPr>
          <w:ilvl w:val="0"/>
          <w:numId w:val="22"/>
        </w:numPr>
        <w:ind w:left="371" w:hanging="371"/>
        <w:jc w:val="mediumKashida"/>
        <w:rPr>
          <w:rFonts w:ascii="Times New Roman" w:hAnsi="Times New Roman" w:cs="Simplified Arabic"/>
          <w:color w:val="000000" w:themeColor="text1"/>
          <w:sz w:val="26"/>
          <w:szCs w:val="26"/>
          <w:rtl/>
          <w:lang w:bidi="ar-EG"/>
        </w:rPr>
      </w:pPr>
      <w:proofErr w:type="spellStart"/>
      <w:r w:rsidRPr="00E24FBE">
        <w:rPr>
          <w:rFonts w:ascii="Times New Roman" w:hAnsi="Times New Roman" w:cs="Simplified Arabic" w:hint="cs"/>
          <w:color w:val="000000" w:themeColor="text1"/>
          <w:sz w:val="26"/>
          <w:szCs w:val="26"/>
          <w:rtl/>
        </w:rPr>
        <w:t>الشعراوى</w:t>
      </w:r>
      <w:proofErr w:type="spellEnd"/>
      <w:r w:rsidRPr="00E24FBE">
        <w:rPr>
          <w:rFonts w:ascii="Times New Roman" w:hAnsi="Times New Roman" w:cs="Simplified Arabic" w:hint="cs"/>
          <w:color w:val="000000" w:themeColor="text1"/>
          <w:sz w:val="26"/>
          <w:szCs w:val="26"/>
          <w:rtl/>
        </w:rPr>
        <w:t xml:space="preserve">، حاتم عبد الفتاح، (2023)، "أثر مستوى الإفصاح عن المعلومات المستقبلية على كفاءة سوق الأوراق المالية: دراسة تطبيقية على الشركات المدرجة بالبورصة المصرية"، </w:t>
      </w:r>
      <w:r w:rsidRPr="00E24FBE">
        <w:rPr>
          <w:rFonts w:ascii="Times New Roman" w:hAnsi="Times New Roman" w:cs="Simplified Arabic" w:hint="cs"/>
          <w:b/>
          <w:bCs/>
          <w:color w:val="000000" w:themeColor="text1"/>
          <w:sz w:val="26"/>
          <w:szCs w:val="26"/>
          <w:rtl/>
        </w:rPr>
        <w:t>المجلة العلمية للدراسات والبحوث المالية والتجارية</w:t>
      </w:r>
      <w:r w:rsidRPr="00E24FBE">
        <w:rPr>
          <w:rFonts w:ascii="Times New Roman" w:hAnsi="Times New Roman" w:cs="Simplified Arabic" w:hint="cs"/>
          <w:color w:val="000000" w:themeColor="text1"/>
          <w:sz w:val="26"/>
          <w:szCs w:val="26"/>
          <w:rtl/>
        </w:rPr>
        <w:t>، كلية التجارة، جامعة دمياط، المجلد الرابع، العدد الأول، 436-492.</w:t>
      </w:r>
    </w:p>
    <w:p w14:paraId="0B901920" w14:textId="77777777" w:rsidR="004D722B" w:rsidRPr="00E24FBE" w:rsidRDefault="004D722B" w:rsidP="002209B2">
      <w:pPr>
        <w:pStyle w:val="FootnoteText"/>
        <w:numPr>
          <w:ilvl w:val="0"/>
          <w:numId w:val="22"/>
        </w:numPr>
        <w:ind w:left="371" w:hanging="371"/>
        <w:jc w:val="lowKashida"/>
        <w:rPr>
          <w:rFonts w:ascii="Times New Roman" w:hAnsi="Times New Roman" w:cs="Simplified Arabic"/>
          <w:color w:val="000000" w:themeColor="text1"/>
          <w:sz w:val="26"/>
          <w:szCs w:val="26"/>
          <w:rtl/>
          <w:lang w:bidi="ar-EG"/>
        </w:rPr>
      </w:pPr>
      <w:r w:rsidRPr="00E24FBE">
        <w:rPr>
          <w:rFonts w:ascii="Times New Roman" w:hAnsi="Times New Roman" w:cs="Simplified Arabic" w:hint="cs"/>
          <w:color w:val="000000" w:themeColor="text1"/>
          <w:sz w:val="26"/>
          <w:szCs w:val="26"/>
          <w:rtl/>
        </w:rPr>
        <w:t xml:space="preserve">صالح، مفتاح و فريدة، </w:t>
      </w:r>
      <w:proofErr w:type="spellStart"/>
      <w:r w:rsidRPr="00E24FBE">
        <w:rPr>
          <w:rFonts w:ascii="Times New Roman" w:hAnsi="Times New Roman" w:cs="Simplified Arabic" w:hint="cs"/>
          <w:color w:val="000000" w:themeColor="text1"/>
          <w:sz w:val="26"/>
          <w:szCs w:val="26"/>
          <w:rtl/>
        </w:rPr>
        <w:t>معارفى</w:t>
      </w:r>
      <w:proofErr w:type="spellEnd"/>
      <w:r w:rsidRPr="00E24FBE">
        <w:rPr>
          <w:rFonts w:ascii="Times New Roman" w:hAnsi="Times New Roman" w:cs="Simplified Arabic" w:hint="cs"/>
          <w:color w:val="000000" w:themeColor="text1"/>
          <w:sz w:val="26"/>
          <w:szCs w:val="26"/>
          <w:rtl/>
        </w:rPr>
        <w:t xml:space="preserve">، (2009)، "متطلبات كفاءة سوق الأوراق المالية: دراسة لواقع أسواق الأوراق المالية العربية وسبل رفع كفاءتها"، </w:t>
      </w:r>
      <w:r w:rsidRPr="00E24FBE">
        <w:rPr>
          <w:rFonts w:ascii="Times New Roman" w:hAnsi="Times New Roman" w:cs="Simplified Arabic" w:hint="cs"/>
          <w:b/>
          <w:bCs/>
          <w:color w:val="000000" w:themeColor="text1"/>
          <w:sz w:val="26"/>
          <w:szCs w:val="26"/>
          <w:rtl/>
        </w:rPr>
        <w:t>مجلة الباحث</w:t>
      </w:r>
      <w:r w:rsidRPr="00E24FBE">
        <w:rPr>
          <w:rFonts w:ascii="Times New Roman" w:hAnsi="Times New Roman" w:cs="Simplified Arabic" w:hint="cs"/>
          <w:color w:val="000000" w:themeColor="text1"/>
          <w:sz w:val="26"/>
          <w:szCs w:val="26"/>
          <w:rtl/>
          <w:lang w:bidi="ar-EG"/>
        </w:rPr>
        <w:t>، جامعة محمد خيضر بسكرة، الجزائر، العدد السابع، 181-194.</w:t>
      </w:r>
    </w:p>
    <w:p w14:paraId="32208C16" w14:textId="77777777" w:rsidR="004D722B" w:rsidRPr="00E24FBE" w:rsidRDefault="004D722B" w:rsidP="002209B2">
      <w:pPr>
        <w:pStyle w:val="FootnoteText"/>
        <w:numPr>
          <w:ilvl w:val="0"/>
          <w:numId w:val="22"/>
        </w:numPr>
        <w:ind w:left="371" w:hanging="371"/>
        <w:jc w:val="lowKashida"/>
        <w:rPr>
          <w:rFonts w:ascii="Times New Roman" w:hAnsi="Times New Roman" w:cs="Simplified Arabic"/>
          <w:color w:val="000000" w:themeColor="text1"/>
          <w:sz w:val="26"/>
          <w:szCs w:val="26"/>
          <w:rtl/>
          <w:lang w:bidi="ar-EG"/>
        </w:rPr>
      </w:pPr>
      <w:r w:rsidRPr="00E24FBE">
        <w:rPr>
          <w:rFonts w:ascii="Times New Roman" w:hAnsi="Times New Roman" w:cs="Simplified Arabic" w:hint="cs"/>
          <w:color w:val="000000" w:themeColor="text1"/>
          <w:sz w:val="26"/>
          <w:szCs w:val="26"/>
          <w:rtl/>
        </w:rPr>
        <w:t xml:space="preserve">عبد الرحمن، وليد محمد، (2017)، "تقلبات الأسعار وأثرها على كفاءة سوق الأوراق المالية في ظل التداول </w:t>
      </w:r>
      <w:proofErr w:type="spellStart"/>
      <w:r w:rsidRPr="00E24FBE">
        <w:rPr>
          <w:rFonts w:ascii="Times New Roman" w:hAnsi="Times New Roman" w:cs="Simplified Arabic" w:hint="cs"/>
          <w:color w:val="000000" w:themeColor="text1"/>
          <w:sz w:val="26"/>
          <w:szCs w:val="26"/>
          <w:rtl/>
        </w:rPr>
        <w:t>عالى</w:t>
      </w:r>
      <w:proofErr w:type="spellEnd"/>
      <w:r w:rsidRPr="00E24FBE">
        <w:rPr>
          <w:rFonts w:ascii="Times New Roman" w:hAnsi="Times New Roman" w:cs="Simplified Arabic" w:hint="cs"/>
          <w:color w:val="000000" w:themeColor="text1"/>
          <w:sz w:val="26"/>
          <w:szCs w:val="26"/>
          <w:rtl/>
        </w:rPr>
        <w:t xml:space="preserve"> التردد بالتطبيق على سوق الأوراق المالية المصرية"، </w:t>
      </w:r>
      <w:r w:rsidRPr="00E24FBE">
        <w:rPr>
          <w:rFonts w:ascii="Times New Roman" w:hAnsi="Times New Roman" w:cs="Simplified Arabic" w:hint="cs"/>
          <w:b/>
          <w:bCs/>
          <w:color w:val="000000" w:themeColor="text1"/>
          <w:sz w:val="26"/>
          <w:szCs w:val="26"/>
          <w:rtl/>
        </w:rPr>
        <w:t>المجلة العلمية للدراسات التجارية والبيئية</w:t>
      </w:r>
      <w:r w:rsidRPr="00E24FBE">
        <w:rPr>
          <w:rFonts w:ascii="Times New Roman" w:hAnsi="Times New Roman" w:cs="Simplified Arabic" w:hint="cs"/>
          <w:color w:val="000000" w:themeColor="text1"/>
          <w:sz w:val="26"/>
          <w:szCs w:val="26"/>
          <w:rtl/>
        </w:rPr>
        <w:t xml:space="preserve">، كلية التجارة، جامعة قناة السويس، المجلد الثامن، العدد الثالث، 838-866. </w:t>
      </w:r>
    </w:p>
    <w:p w14:paraId="25AAE8F5" w14:textId="77777777" w:rsidR="004D722B" w:rsidRPr="00E24FBE" w:rsidRDefault="004D722B" w:rsidP="002209B2">
      <w:pPr>
        <w:pStyle w:val="FootnoteText"/>
        <w:numPr>
          <w:ilvl w:val="0"/>
          <w:numId w:val="22"/>
        </w:numPr>
        <w:ind w:left="371" w:hanging="371"/>
        <w:jc w:val="lowKashida"/>
        <w:rPr>
          <w:rFonts w:ascii="Times New Roman" w:hAnsi="Times New Roman" w:cs="Simplified Arabic"/>
          <w:color w:val="000000" w:themeColor="text1"/>
          <w:sz w:val="26"/>
          <w:szCs w:val="26"/>
          <w:rtl/>
        </w:rPr>
      </w:pPr>
      <w:r w:rsidRPr="00E24FBE">
        <w:rPr>
          <w:rFonts w:ascii="Times New Roman" w:hAnsi="Times New Roman" w:cs="Simplified Arabic" w:hint="cs"/>
          <w:color w:val="000000" w:themeColor="text1"/>
          <w:sz w:val="26"/>
          <w:szCs w:val="26"/>
          <w:rtl/>
        </w:rPr>
        <w:t xml:space="preserve">عبد </w:t>
      </w:r>
      <w:proofErr w:type="spellStart"/>
      <w:r w:rsidRPr="00E24FBE">
        <w:rPr>
          <w:rFonts w:ascii="Times New Roman" w:hAnsi="Times New Roman" w:cs="Simplified Arabic" w:hint="cs"/>
          <w:color w:val="000000" w:themeColor="text1"/>
          <w:sz w:val="26"/>
          <w:szCs w:val="26"/>
          <w:rtl/>
        </w:rPr>
        <w:t>العاطى</w:t>
      </w:r>
      <w:proofErr w:type="spellEnd"/>
      <w:r w:rsidRPr="00E24FBE">
        <w:rPr>
          <w:rFonts w:ascii="Times New Roman" w:hAnsi="Times New Roman" w:cs="Simplified Arabic" w:hint="cs"/>
          <w:color w:val="000000" w:themeColor="text1"/>
          <w:sz w:val="26"/>
          <w:szCs w:val="26"/>
          <w:rtl/>
        </w:rPr>
        <w:t xml:space="preserve">، محمود حسين إسماعيل، (2019)، "دراسة تحليلية لتقلب الدخل الشامل ومدى </w:t>
      </w:r>
      <w:proofErr w:type="spellStart"/>
      <w:r w:rsidRPr="00E24FBE">
        <w:rPr>
          <w:rFonts w:ascii="Times New Roman" w:hAnsi="Times New Roman" w:cs="Simplified Arabic" w:hint="cs"/>
          <w:color w:val="000000" w:themeColor="text1"/>
          <w:sz w:val="26"/>
          <w:szCs w:val="26"/>
          <w:rtl/>
        </w:rPr>
        <w:t>إرتباطه</w:t>
      </w:r>
      <w:proofErr w:type="spellEnd"/>
      <w:r w:rsidRPr="00E24FBE">
        <w:rPr>
          <w:rFonts w:ascii="Times New Roman" w:hAnsi="Times New Roman" w:cs="Simplified Arabic" w:hint="cs"/>
          <w:color w:val="000000" w:themeColor="text1"/>
          <w:sz w:val="26"/>
          <w:szCs w:val="26"/>
          <w:rtl/>
        </w:rPr>
        <w:t xml:space="preserve"> بمخاطر المنشأة"، </w:t>
      </w:r>
      <w:r w:rsidRPr="00E24FBE">
        <w:rPr>
          <w:rFonts w:ascii="Times New Roman" w:hAnsi="Times New Roman" w:cs="Simplified Arabic" w:hint="cs"/>
          <w:b/>
          <w:bCs/>
          <w:color w:val="000000" w:themeColor="text1"/>
          <w:sz w:val="26"/>
          <w:szCs w:val="26"/>
          <w:rtl/>
        </w:rPr>
        <w:t>مجلة الدراسات المالية والتجارية</w:t>
      </w:r>
      <w:r w:rsidRPr="00E24FBE">
        <w:rPr>
          <w:rFonts w:ascii="Times New Roman" w:hAnsi="Times New Roman" w:cs="Simplified Arabic" w:hint="cs"/>
          <w:color w:val="000000" w:themeColor="text1"/>
          <w:sz w:val="26"/>
          <w:szCs w:val="26"/>
          <w:rtl/>
        </w:rPr>
        <w:t>، كلية التجارة، جامعة بنى سويف، المجلد التاسع والعشرون، العدد الثالث، 1-24.</w:t>
      </w:r>
    </w:p>
    <w:p w14:paraId="28B7C4FD" w14:textId="77777777" w:rsidR="004D722B" w:rsidRPr="00E24FBE" w:rsidRDefault="004D722B" w:rsidP="002209B2">
      <w:pPr>
        <w:pStyle w:val="FootnoteText"/>
        <w:numPr>
          <w:ilvl w:val="0"/>
          <w:numId w:val="22"/>
        </w:numPr>
        <w:ind w:left="371" w:hanging="371"/>
        <w:jc w:val="lowKashida"/>
        <w:rPr>
          <w:rFonts w:ascii="Times New Roman" w:hAnsi="Times New Roman" w:cs="Simplified Arabic"/>
          <w:color w:val="000000" w:themeColor="text1"/>
          <w:sz w:val="26"/>
          <w:szCs w:val="26"/>
          <w:lang w:bidi="ar-EG"/>
        </w:rPr>
      </w:pPr>
      <w:r w:rsidRPr="00E24FBE">
        <w:rPr>
          <w:rFonts w:ascii="Times New Roman" w:hAnsi="Times New Roman" w:cs="Simplified Arabic" w:hint="cs"/>
          <w:color w:val="000000" w:themeColor="text1"/>
          <w:sz w:val="26"/>
          <w:szCs w:val="26"/>
          <w:rtl/>
        </w:rPr>
        <w:t xml:space="preserve">عبده، محمد رضا توفيق و </w:t>
      </w:r>
      <w:proofErr w:type="spellStart"/>
      <w:r w:rsidRPr="00E24FBE">
        <w:rPr>
          <w:rFonts w:ascii="Times New Roman" w:hAnsi="Times New Roman" w:cs="Simplified Arabic" w:hint="cs"/>
          <w:color w:val="000000" w:themeColor="text1"/>
          <w:sz w:val="26"/>
          <w:szCs w:val="26"/>
          <w:rtl/>
        </w:rPr>
        <w:t>الرشيدى</w:t>
      </w:r>
      <w:proofErr w:type="spellEnd"/>
      <w:r w:rsidRPr="00E24FBE">
        <w:rPr>
          <w:rFonts w:ascii="Times New Roman" w:hAnsi="Times New Roman" w:cs="Simplified Arabic" w:hint="cs"/>
          <w:color w:val="000000" w:themeColor="text1"/>
          <w:sz w:val="26"/>
          <w:szCs w:val="26"/>
          <w:rtl/>
        </w:rPr>
        <w:t xml:space="preserve">، طارق عبد العظيم يوسف، (2023)، "أثر الإفصاح عن بنود الدخل الشامل الآخر على جودة الأرباح: دراسة تطبيقية"، </w:t>
      </w:r>
      <w:r w:rsidRPr="00E24FBE">
        <w:rPr>
          <w:rFonts w:ascii="Times New Roman" w:hAnsi="Times New Roman" w:cs="Simplified Arabic" w:hint="cs"/>
          <w:b/>
          <w:bCs/>
          <w:color w:val="000000" w:themeColor="text1"/>
          <w:sz w:val="26"/>
          <w:szCs w:val="26"/>
          <w:rtl/>
        </w:rPr>
        <w:t>المجلة العلمية للدراسات والبحوث المالية والتجارية</w:t>
      </w:r>
      <w:r w:rsidRPr="00E24FBE">
        <w:rPr>
          <w:rFonts w:ascii="Times New Roman" w:hAnsi="Times New Roman" w:cs="Simplified Arabic" w:hint="cs"/>
          <w:color w:val="000000" w:themeColor="text1"/>
          <w:sz w:val="26"/>
          <w:szCs w:val="26"/>
          <w:rtl/>
        </w:rPr>
        <w:t>، كلية التجارة، جامعة دمياط، المجلد الرابع، العدد الأول، 66-92</w:t>
      </w:r>
      <w:r w:rsidRPr="00E24FBE">
        <w:rPr>
          <w:rFonts w:ascii="Times New Roman" w:hAnsi="Times New Roman" w:cs="Simplified Arabic" w:hint="cs"/>
          <w:color w:val="000000" w:themeColor="text1"/>
          <w:sz w:val="26"/>
          <w:szCs w:val="26"/>
          <w:rtl/>
          <w:lang w:bidi="ar-EG"/>
        </w:rPr>
        <w:t>.</w:t>
      </w:r>
    </w:p>
    <w:p w14:paraId="2D0CEA6A" w14:textId="77777777" w:rsidR="004D722B" w:rsidRPr="00E24FBE" w:rsidRDefault="004D722B" w:rsidP="002209B2">
      <w:pPr>
        <w:pStyle w:val="FootnoteText"/>
        <w:numPr>
          <w:ilvl w:val="0"/>
          <w:numId w:val="22"/>
        </w:numPr>
        <w:ind w:left="371" w:hanging="371"/>
        <w:jc w:val="lowKashida"/>
        <w:rPr>
          <w:rFonts w:ascii="Times New Roman" w:hAnsi="Times New Roman" w:cs="Simplified Arabic"/>
          <w:bCs/>
          <w:color w:val="000000" w:themeColor="text1"/>
          <w:sz w:val="26"/>
          <w:szCs w:val="26"/>
          <w:lang w:bidi="ar-EG"/>
        </w:rPr>
      </w:pPr>
      <w:r w:rsidRPr="00E24FBE">
        <w:rPr>
          <w:rFonts w:ascii="Times New Roman" w:hAnsi="Times New Roman" w:cs="Simplified Arabic" w:hint="cs"/>
          <w:b/>
          <w:color w:val="000000" w:themeColor="text1"/>
          <w:sz w:val="26"/>
          <w:szCs w:val="26"/>
          <w:rtl/>
          <w:lang w:bidi="ar-EG"/>
        </w:rPr>
        <w:t xml:space="preserve">عثمان، رياض، (2014)، </w:t>
      </w:r>
      <w:r w:rsidRPr="00E24FBE">
        <w:rPr>
          <w:rFonts w:ascii="Times New Roman" w:hAnsi="Times New Roman" w:cs="Simplified Arabic" w:hint="cs"/>
          <w:bCs/>
          <w:color w:val="000000" w:themeColor="text1"/>
          <w:sz w:val="26"/>
          <w:szCs w:val="26"/>
          <w:rtl/>
          <w:lang w:bidi="ar-EG"/>
        </w:rPr>
        <w:t>"معايير الجودة البحثية في الرسائل الجامعية"،</w:t>
      </w:r>
      <w:r w:rsidRPr="00E24FBE">
        <w:rPr>
          <w:rFonts w:ascii="Times New Roman" w:hAnsi="Times New Roman" w:cs="Simplified Arabic" w:hint="cs"/>
          <w:b/>
          <w:color w:val="000000" w:themeColor="text1"/>
          <w:sz w:val="26"/>
          <w:szCs w:val="26"/>
          <w:rtl/>
          <w:lang w:bidi="ar-EG"/>
        </w:rPr>
        <w:t xml:space="preserve"> دار الكتب العلمية، بيروت، لبنان، الطبعة الأولى.</w:t>
      </w:r>
    </w:p>
    <w:p w14:paraId="6389A971" w14:textId="77777777" w:rsidR="004D722B" w:rsidRPr="00E24FBE" w:rsidRDefault="004D722B" w:rsidP="002209B2">
      <w:pPr>
        <w:pStyle w:val="FootnoteText"/>
        <w:numPr>
          <w:ilvl w:val="0"/>
          <w:numId w:val="22"/>
        </w:numPr>
        <w:ind w:left="469" w:hanging="469"/>
        <w:jc w:val="lowKashida"/>
        <w:rPr>
          <w:rFonts w:ascii="Times New Roman" w:hAnsi="Times New Roman" w:cs="Simplified Arabic"/>
          <w:color w:val="000000" w:themeColor="text1"/>
          <w:sz w:val="26"/>
          <w:szCs w:val="26"/>
        </w:rPr>
      </w:pPr>
      <w:proofErr w:type="spellStart"/>
      <w:r w:rsidRPr="00E24FBE">
        <w:rPr>
          <w:rFonts w:ascii="Times New Roman" w:hAnsi="Times New Roman" w:cs="Simplified Arabic" w:hint="cs"/>
          <w:color w:val="000000" w:themeColor="text1"/>
          <w:sz w:val="26"/>
          <w:szCs w:val="26"/>
          <w:rtl/>
        </w:rPr>
        <w:lastRenderedPageBreak/>
        <w:t>عصيمى</w:t>
      </w:r>
      <w:proofErr w:type="spellEnd"/>
      <w:r w:rsidRPr="00E24FBE">
        <w:rPr>
          <w:rFonts w:ascii="Times New Roman" w:hAnsi="Times New Roman" w:cs="Simplified Arabic" w:hint="cs"/>
          <w:color w:val="000000" w:themeColor="text1"/>
          <w:sz w:val="26"/>
          <w:szCs w:val="26"/>
          <w:rtl/>
        </w:rPr>
        <w:t>، أحمد زكريا، (2012)،</w:t>
      </w:r>
      <w:r w:rsidRPr="00E24FBE">
        <w:rPr>
          <w:rFonts w:ascii="Times New Roman" w:hAnsi="Times New Roman" w:cs="Simplified Arabic" w:hint="cs"/>
          <w:color w:val="000000" w:themeColor="text1"/>
          <w:sz w:val="26"/>
          <w:szCs w:val="26"/>
          <w:rtl/>
          <w:lang w:bidi="ar-EG"/>
        </w:rPr>
        <w:t xml:space="preserve"> "أثر الإفصاح </w:t>
      </w:r>
      <w:proofErr w:type="spellStart"/>
      <w:r w:rsidRPr="00E24FBE">
        <w:rPr>
          <w:rFonts w:ascii="Times New Roman" w:hAnsi="Times New Roman" w:cs="Simplified Arabic" w:hint="cs"/>
          <w:color w:val="000000" w:themeColor="text1"/>
          <w:sz w:val="26"/>
          <w:szCs w:val="26"/>
          <w:rtl/>
          <w:lang w:bidi="ar-EG"/>
        </w:rPr>
        <w:t>المحاسبى</w:t>
      </w:r>
      <w:proofErr w:type="spellEnd"/>
      <w:r w:rsidRPr="00E24FBE">
        <w:rPr>
          <w:rFonts w:ascii="Times New Roman" w:hAnsi="Times New Roman" w:cs="Simplified Arabic" w:hint="cs"/>
          <w:color w:val="000000" w:themeColor="text1"/>
          <w:sz w:val="26"/>
          <w:szCs w:val="26"/>
          <w:rtl/>
          <w:lang w:bidi="ar-EG"/>
        </w:rPr>
        <w:t xml:space="preserve"> عن بنود الدخل الشامل الأخرى على ملاءمة معلومات الربح </w:t>
      </w:r>
      <w:proofErr w:type="spellStart"/>
      <w:r w:rsidRPr="00E24FBE">
        <w:rPr>
          <w:rFonts w:ascii="Times New Roman" w:hAnsi="Times New Roman" w:cs="Simplified Arabic" w:hint="cs"/>
          <w:color w:val="000000" w:themeColor="text1"/>
          <w:sz w:val="26"/>
          <w:szCs w:val="26"/>
          <w:rtl/>
          <w:lang w:bidi="ar-EG"/>
        </w:rPr>
        <w:t>المحاسبى</w:t>
      </w:r>
      <w:proofErr w:type="spellEnd"/>
      <w:r w:rsidRPr="00E24FBE">
        <w:rPr>
          <w:rFonts w:ascii="Times New Roman" w:hAnsi="Times New Roman" w:cs="Simplified Arabic" w:hint="cs"/>
          <w:color w:val="000000" w:themeColor="text1"/>
          <w:sz w:val="26"/>
          <w:szCs w:val="26"/>
          <w:rtl/>
          <w:lang w:bidi="ar-EG"/>
        </w:rPr>
        <w:t xml:space="preserve"> وتحسين عملية التنبؤ به للبنوك السعودية</w:t>
      </w:r>
      <w:r w:rsidRPr="00E24FBE">
        <w:rPr>
          <w:rFonts w:ascii="Times New Roman" w:hAnsi="Times New Roman" w:cs="Simplified Arabic" w:hint="cs"/>
          <w:b/>
          <w:bCs/>
          <w:color w:val="000000" w:themeColor="text1"/>
          <w:sz w:val="26"/>
          <w:szCs w:val="26"/>
          <w:rtl/>
          <w:lang w:bidi="ar-EG"/>
        </w:rPr>
        <w:t>"</w:t>
      </w:r>
      <w:r w:rsidRPr="00E24FBE">
        <w:rPr>
          <w:rFonts w:ascii="Times New Roman" w:hAnsi="Times New Roman" w:cs="Simplified Arabic" w:hint="cs"/>
          <w:color w:val="000000" w:themeColor="text1"/>
          <w:sz w:val="26"/>
          <w:szCs w:val="26"/>
          <w:rtl/>
          <w:lang w:bidi="ar-EG"/>
        </w:rPr>
        <w:t xml:space="preserve">، </w:t>
      </w:r>
      <w:r w:rsidRPr="00E24FBE">
        <w:rPr>
          <w:rFonts w:ascii="Times New Roman" w:hAnsi="Times New Roman" w:cs="Simplified Arabic" w:hint="cs"/>
          <w:b/>
          <w:bCs/>
          <w:color w:val="000000" w:themeColor="text1"/>
          <w:sz w:val="26"/>
          <w:szCs w:val="26"/>
          <w:rtl/>
          <w:lang w:bidi="ar-EG"/>
        </w:rPr>
        <w:t>مجلة التجارة والتمويل</w:t>
      </w:r>
      <w:r w:rsidRPr="00E24FBE">
        <w:rPr>
          <w:rFonts w:ascii="Times New Roman" w:hAnsi="Times New Roman" w:cs="Simplified Arabic" w:hint="cs"/>
          <w:color w:val="000000" w:themeColor="text1"/>
          <w:sz w:val="26"/>
          <w:szCs w:val="26"/>
          <w:rtl/>
          <w:lang w:bidi="ar-EG"/>
        </w:rPr>
        <w:t xml:space="preserve">، كلية التجارة، جامعة طنطا، المجلد </w:t>
      </w:r>
      <w:proofErr w:type="spellStart"/>
      <w:r w:rsidRPr="00E24FBE">
        <w:rPr>
          <w:rFonts w:ascii="Times New Roman" w:hAnsi="Times New Roman" w:cs="Simplified Arabic" w:hint="cs"/>
          <w:color w:val="000000" w:themeColor="text1"/>
          <w:sz w:val="26"/>
          <w:szCs w:val="26"/>
          <w:rtl/>
          <w:lang w:bidi="ar-EG"/>
        </w:rPr>
        <w:t>الثانى</w:t>
      </w:r>
      <w:proofErr w:type="spellEnd"/>
      <w:r w:rsidRPr="00E24FBE">
        <w:rPr>
          <w:rFonts w:ascii="Times New Roman" w:hAnsi="Times New Roman" w:cs="Simplified Arabic" w:hint="cs"/>
          <w:color w:val="000000" w:themeColor="text1"/>
          <w:sz w:val="26"/>
          <w:szCs w:val="26"/>
          <w:rtl/>
          <w:lang w:bidi="ar-EG"/>
        </w:rPr>
        <w:t xml:space="preserve"> والثلاثون، العدد </w:t>
      </w:r>
      <w:proofErr w:type="spellStart"/>
      <w:r w:rsidRPr="00E24FBE">
        <w:rPr>
          <w:rFonts w:ascii="Times New Roman" w:hAnsi="Times New Roman" w:cs="Simplified Arabic" w:hint="cs"/>
          <w:color w:val="000000" w:themeColor="text1"/>
          <w:sz w:val="26"/>
          <w:szCs w:val="26"/>
          <w:rtl/>
          <w:lang w:bidi="ar-EG"/>
        </w:rPr>
        <w:t>الثانى</w:t>
      </w:r>
      <w:proofErr w:type="spellEnd"/>
      <w:r w:rsidRPr="00E24FBE">
        <w:rPr>
          <w:rFonts w:ascii="Times New Roman" w:hAnsi="Times New Roman" w:cs="Simplified Arabic" w:hint="cs"/>
          <w:color w:val="000000" w:themeColor="text1"/>
          <w:sz w:val="26"/>
          <w:szCs w:val="26"/>
          <w:rtl/>
          <w:lang w:bidi="ar-EG"/>
        </w:rPr>
        <w:t>، 217-260</w:t>
      </w:r>
      <w:r w:rsidRPr="00E24FBE">
        <w:rPr>
          <w:rFonts w:ascii="Times New Roman" w:hAnsi="Times New Roman" w:cs="Simplified Arabic" w:hint="cs"/>
          <w:color w:val="000000" w:themeColor="text1"/>
          <w:sz w:val="26"/>
          <w:szCs w:val="26"/>
          <w:rtl/>
        </w:rPr>
        <w:t>.</w:t>
      </w:r>
    </w:p>
    <w:p w14:paraId="33363216" w14:textId="77777777" w:rsidR="004D722B" w:rsidRPr="00E24FBE" w:rsidRDefault="004D722B" w:rsidP="002209B2">
      <w:pPr>
        <w:pStyle w:val="FootnoteText"/>
        <w:numPr>
          <w:ilvl w:val="0"/>
          <w:numId w:val="22"/>
        </w:numPr>
        <w:ind w:left="469" w:hanging="469"/>
        <w:jc w:val="lowKashida"/>
        <w:rPr>
          <w:rFonts w:ascii="Times New Roman" w:hAnsi="Times New Roman" w:cs="Simplified Arabic"/>
          <w:color w:val="000000" w:themeColor="text1"/>
          <w:sz w:val="26"/>
          <w:szCs w:val="26"/>
          <w:lang w:bidi="ar-EG"/>
        </w:rPr>
      </w:pPr>
      <w:r w:rsidRPr="00E24FBE">
        <w:rPr>
          <w:rFonts w:ascii="Times New Roman" w:hAnsi="Times New Roman" w:cs="Simplified Arabic" w:hint="cs"/>
          <w:color w:val="000000" w:themeColor="text1"/>
          <w:sz w:val="26"/>
          <w:szCs w:val="26"/>
          <w:rtl/>
          <w:lang w:bidi="ar-EG"/>
        </w:rPr>
        <w:t xml:space="preserve">على، إبراهيم زكريا عرفات، (2019)، "المحتوى </w:t>
      </w:r>
      <w:proofErr w:type="spellStart"/>
      <w:r w:rsidRPr="00E24FBE">
        <w:rPr>
          <w:rFonts w:ascii="Times New Roman" w:hAnsi="Times New Roman" w:cs="Simplified Arabic" w:hint="cs"/>
          <w:color w:val="000000" w:themeColor="text1"/>
          <w:sz w:val="26"/>
          <w:szCs w:val="26"/>
          <w:rtl/>
          <w:lang w:bidi="ar-EG"/>
        </w:rPr>
        <w:t>المعلوماتى</w:t>
      </w:r>
      <w:proofErr w:type="spellEnd"/>
      <w:r w:rsidRPr="00E24FBE">
        <w:rPr>
          <w:rFonts w:ascii="Times New Roman" w:hAnsi="Times New Roman" w:cs="Simplified Arabic" w:hint="cs"/>
          <w:color w:val="000000" w:themeColor="text1"/>
          <w:sz w:val="26"/>
          <w:szCs w:val="26"/>
          <w:rtl/>
          <w:lang w:bidi="ar-EG"/>
        </w:rPr>
        <w:t xml:space="preserve"> لقائمة الدخل الشامل: دراسة تطبيقية لمدى جدوى تعديل المعيار </w:t>
      </w:r>
      <w:proofErr w:type="spellStart"/>
      <w:r w:rsidRPr="00E24FBE">
        <w:rPr>
          <w:rFonts w:ascii="Times New Roman" w:hAnsi="Times New Roman" w:cs="Simplified Arabic" w:hint="cs"/>
          <w:color w:val="000000" w:themeColor="text1"/>
          <w:sz w:val="26"/>
          <w:szCs w:val="26"/>
          <w:rtl/>
          <w:lang w:bidi="ar-EG"/>
        </w:rPr>
        <w:t>المحاسبى</w:t>
      </w:r>
      <w:proofErr w:type="spellEnd"/>
      <w:r w:rsidRPr="00E24FBE">
        <w:rPr>
          <w:rFonts w:ascii="Times New Roman" w:hAnsi="Times New Roman" w:cs="Simplified Arabic" w:hint="cs"/>
          <w:color w:val="000000" w:themeColor="text1"/>
          <w:sz w:val="26"/>
          <w:szCs w:val="26"/>
          <w:rtl/>
          <w:lang w:bidi="ar-EG"/>
        </w:rPr>
        <w:t xml:space="preserve"> </w:t>
      </w:r>
      <w:proofErr w:type="spellStart"/>
      <w:r w:rsidRPr="00E24FBE">
        <w:rPr>
          <w:rFonts w:ascii="Times New Roman" w:hAnsi="Times New Roman" w:cs="Simplified Arabic" w:hint="cs"/>
          <w:color w:val="000000" w:themeColor="text1"/>
          <w:sz w:val="26"/>
          <w:szCs w:val="26"/>
          <w:rtl/>
          <w:lang w:bidi="ar-EG"/>
        </w:rPr>
        <w:t>المصرى</w:t>
      </w:r>
      <w:proofErr w:type="spellEnd"/>
      <w:r w:rsidRPr="00E24FBE">
        <w:rPr>
          <w:rFonts w:ascii="Times New Roman" w:hAnsi="Times New Roman" w:cs="Simplified Arabic" w:hint="cs"/>
          <w:color w:val="000000" w:themeColor="text1"/>
          <w:sz w:val="26"/>
          <w:szCs w:val="26"/>
          <w:rtl/>
          <w:lang w:bidi="ar-EG"/>
        </w:rPr>
        <w:t xml:space="preserve"> رقم (1) "عرض القوائم المالية" عام 2015"، </w:t>
      </w:r>
      <w:r w:rsidRPr="00E24FBE">
        <w:rPr>
          <w:rFonts w:ascii="Times New Roman" w:hAnsi="Times New Roman" w:cs="Simplified Arabic" w:hint="cs"/>
          <w:b/>
          <w:bCs/>
          <w:color w:val="000000" w:themeColor="text1"/>
          <w:sz w:val="26"/>
          <w:szCs w:val="26"/>
          <w:rtl/>
          <w:lang w:bidi="ar-EG"/>
        </w:rPr>
        <w:t>مجلة الدراسات التجارية المعاصرة</w:t>
      </w:r>
      <w:r w:rsidRPr="00E24FBE">
        <w:rPr>
          <w:rFonts w:ascii="Times New Roman" w:hAnsi="Times New Roman" w:cs="Simplified Arabic" w:hint="cs"/>
          <w:color w:val="000000" w:themeColor="text1"/>
          <w:sz w:val="26"/>
          <w:szCs w:val="26"/>
          <w:rtl/>
          <w:lang w:bidi="ar-EG"/>
        </w:rPr>
        <w:t>، كلية التجارة، جامعة كفر الشيخ، المجلد الخامس، العدد السادس، 456-498.</w:t>
      </w:r>
    </w:p>
    <w:p w14:paraId="412C4E42" w14:textId="77777777" w:rsidR="004D722B" w:rsidRPr="001D2326" w:rsidRDefault="004D722B" w:rsidP="002209B2">
      <w:pPr>
        <w:pStyle w:val="FootnoteText"/>
        <w:numPr>
          <w:ilvl w:val="0"/>
          <w:numId w:val="22"/>
        </w:numPr>
        <w:ind w:left="469" w:hanging="469"/>
        <w:jc w:val="lowKashida"/>
        <w:rPr>
          <w:rFonts w:ascii="Times New Roman" w:hAnsi="Times New Roman" w:cs="Simplified Arabic"/>
          <w:color w:val="000000" w:themeColor="text1"/>
          <w:sz w:val="26"/>
          <w:szCs w:val="26"/>
          <w:lang w:bidi="ar-EG"/>
        </w:rPr>
      </w:pPr>
      <w:proofErr w:type="spellStart"/>
      <w:r w:rsidRPr="00E24FBE">
        <w:rPr>
          <w:rFonts w:ascii="Times New Roman" w:hAnsi="Times New Roman" w:cs="Simplified Arabic" w:hint="cs"/>
          <w:color w:val="000000" w:themeColor="text1"/>
          <w:sz w:val="26"/>
          <w:szCs w:val="26"/>
          <w:rtl/>
          <w:lang w:bidi="ar-EG"/>
        </w:rPr>
        <w:t>الفداوى</w:t>
      </w:r>
      <w:proofErr w:type="spellEnd"/>
      <w:r w:rsidRPr="00E24FBE">
        <w:rPr>
          <w:rFonts w:ascii="Times New Roman" w:hAnsi="Times New Roman" w:cs="Simplified Arabic" w:hint="cs"/>
          <w:color w:val="000000" w:themeColor="text1"/>
          <w:sz w:val="26"/>
          <w:szCs w:val="26"/>
          <w:rtl/>
          <w:lang w:bidi="ar-EG"/>
        </w:rPr>
        <w:t xml:space="preserve">، علياء عبد البديع محمد، (2023)، "أثر الإفصاح عن الدخل الشامل على جودة التقارير المالية: دراسة تطبيقية على الشركات الصناعية المقيدة بالبورصة المصرية"، </w:t>
      </w:r>
      <w:r w:rsidRPr="00E24FBE">
        <w:rPr>
          <w:rFonts w:ascii="Times New Roman" w:hAnsi="Times New Roman" w:cs="Simplified Arabic" w:hint="cs"/>
          <w:b/>
          <w:bCs/>
          <w:color w:val="000000" w:themeColor="text1"/>
          <w:sz w:val="26"/>
          <w:szCs w:val="26"/>
          <w:rtl/>
          <w:lang w:bidi="ar-EG"/>
        </w:rPr>
        <w:t>المجلة العلمية للدراسات والبحوث المالية والتجارية</w:t>
      </w:r>
      <w:r w:rsidRPr="00E24FBE">
        <w:rPr>
          <w:rFonts w:ascii="Times New Roman" w:hAnsi="Times New Roman" w:cs="Simplified Arabic" w:hint="cs"/>
          <w:color w:val="000000" w:themeColor="text1"/>
          <w:sz w:val="26"/>
          <w:szCs w:val="26"/>
          <w:rtl/>
          <w:lang w:bidi="ar-EG"/>
        </w:rPr>
        <w:t>، كلية التجارة، جامعة دمياط، المجلد الرابع، العدد الأول، 722-769.</w:t>
      </w:r>
    </w:p>
    <w:p w14:paraId="5BC312C4" w14:textId="77777777" w:rsidR="004D722B" w:rsidRPr="00E24FBE" w:rsidRDefault="004D722B" w:rsidP="002209B2">
      <w:pPr>
        <w:pStyle w:val="FootnoteText"/>
        <w:numPr>
          <w:ilvl w:val="0"/>
          <w:numId w:val="22"/>
        </w:numPr>
        <w:ind w:left="469" w:hanging="469"/>
        <w:jc w:val="lowKashida"/>
        <w:rPr>
          <w:rFonts w:ascii="Times New Roman" w:hAnsi="Times New Roman" w:cs="Simplified Arabic"/>
          <w:bCs/>
          <w:color w:val="000000" w:themeColor="text1"/>
          <w:sz w:val="26"/>
          <w:szCs w:val="26"/>
          <w:rtl/>
          <w:lang w:bidi="ar-EG"/>
        </w:rPr>
      </w:pPr>
      <w:r w:rsidRPr="00E24FBE">
        <w:rPr>
          <w:rFonts w:ascii="Times New Roman" w:hAnsi="Times New Roman" w:cs="Simplified Arabic" w:hint="cs"/>
          <w:b/>
          <w:color w:val="000000" w:themeColor="text1"/>
          <w:sz w:val="26"/>
          <w:szCs w:val="26"/>
          <w:rtl/>
          <w:lang w:bidi="ar-EG"/>
        </w:rPr>
        <w:t xml:space="preserve">فؤاد، ريمون ميلاد و إبراهيم، منى </w:t>
      </w:r>
      <w:proofErr w:type="spellStart"/>
      <w:r w:rsidRPr="00E24FBE">
        <w:rPr>
          <w:rFonts w:ascii="Times New Roman" w:hAnsi="Times New Roman" w:cs="Simplified Arabic" w:hint="cs"/>
          <w:b/>
          <w:color w:val="000000" w:themeColor="text1"/>
          <w:sz w:val="26"/>
          <w:szCs w:val="26"/>
          <w:rtl/>
          <w:lang w:bidi="ar-EG"/>
        </w:rPr>
        <w:t>مغربى</w:t>
      </w:r>
      <w:proofErr w:type="spellEnd"/>
      <w:r w:rsidRPr="00E24FBE">
        <w:rPr>
          <w:rFonts w:ascii="Times New Roman" w:hAnsi="Times New Roman" w:cs="Simplified Arabic" w:hint="cs"/>
          <w:b/>
          <w:color w:val="000000" w:themeColor="text1"/>
          <w:sz w:val="26"/>
          <w:szCs w:val="26"/>
          <w:rtl/>
          <w:lang w:bidi="ar-EG"/>
        </w:rPr>
        <w:t xml:space="preserve"> محمد، بدون سنة نشر، "</w:t>
      </w:r>
      <w:r w:rsidRPr="00E24FBE">
        <w:rPr>
          <w:rFonts w:ascii="Times New Roman" w:hAnsi="Times New Roman" w:cs="Simplified Arabic" w:hint="cs"/>
          <w:bCs/>
          <w:color w:val="000000" w:themeColor="text1"/>
          <w:sz w:val="26"/>
          <w:szCs w:val="26"/>
          <w:rtl/>
          <w:lang w:bidi="ar-EG"/>
        </w:rPr>
        <w:t>التحليل المالي للقوائم المالية</w:t>
      </w:r>
      <w:r w:rsidRPr="00E24FBE">
        <w:rPr>
          <w:rFonts w:ascii="Times New Roman" w:hAnsi="Times New Roman" w:cs="Simplified Arabic" w:hint="cs"/>
          <w:b/>
          <w:color w:val="000000" w:themeColor="text1"/>
          <w:sz w:val="26"/>
          <w:szCs w:val="26"/>
          <w:rtl/>
          <w:lang w:bidi="ar-EG"/>
        </w:rPr>
        <w:t>"، كلية التجارة، جامعة بنها.</w:t>
      </w:r>
    </w:p>
    <w:p w14:paraId="65B3CC68" w14:textId="77777777" w:rsidR="004D722B" w:rsidRPr="00175BF2" w:rsidRDefault="004D722B" w:rsidP="002209B2">
      <w:pPr>
        <w:pStyle w:val="FootnoteText"/>
        <w:numPr>
          <w:ilvl w:val="0"/>
          <w:numId w:val="22"/>
        </w:numPr>
        <w:ind w:left="469" w:hanging="469"/>
        <w:jc w:val="lowKashida"/>
        <w:rPr>
          <w:rFonts w:ascii="Times New Roman" w:hAnsi="Times New Roman" w:cs="Simplified Arabic"/>
          <w:color w:val="000000" w:themeColor="text1"/>
          <w:sz w:val="26"/>
          <w:szCs w:val="26"/>
          <w:rtl/>
          <w:lang w:bidi="ar-EG"/>
        </w:rPr>
      </w:pPr>
      <w:r w:rsidRPr="00E24FBE">
        <w:rPr>
          <w:rFonts w:ascii="Times New Roman" w:hAnsi="Times New Roman" w:cs="Simplified Arabic" w:hint="cs"/>
          <w:color w:val="000000" w:themeColor="text1"/>
          <w:sz w:val="26"/>
          <w:szCs w:val="26"/>
          <w:rtl/>
          <w:lang w:bidi="ar-EG"/>
        </w:rPr>
        <w:t>منصور، محمد السيد، (2018)،</w:t>
      </w:r>
      <w:r w:rsidRPr="00E24FBE">
        <w:rPr>
          <w:rFonts w:ascii="Times New Roman" w:hAnsi="Times New Roman" w:cs="Simplified Arabic" w:hint="cs"/>
          <w:color w:val="000000" w:themeColor="text1"/>
          <w:sz w:val="26"/>
          <w:szCs w:val="26"/>
          <w:rtl/>
        </w:rPr>
        <w:t xml:space="preserve"> "</w:t>
      </w:r>
      <w:r w:rsidRPr="00E24FBE">
        <w:rPr>
          <w:rFonts w:ascii="Times New Roman" w:hAnsi="Times New Roman" w:cs="Simplified Arabic" w:hint="cs"/>
          <w:color w:val="000000" w:themeColor="text1"/>
          <w:sz w:val="26"/>
          <w:szCs w:val="26"/>
          <w:rtl/>
          <w:lang w:bidi="ar-EG"/>
        </w:rPr>
        <w:t xml:space="preserve">المقدرتان التفسيرية والتنبؤية للدخل الشامل وصافى الدخل من منظور خصائص المعلومات المحاسبية: دراسة تطبيقية على الشركات المقيدة بالبورصة المصرية"، </w:t>
      </w:r>
      <w:r w:rsidRPr="00E24FBE">
        <w:rPr>
          <w:rFonts w:ascii="Times New Roman" w:hAnsi="Times New Roman" w:cs="Simplified Arabic" w:hint="cs"/>
          <w:b/>
          <w:bCs/>
          <w:color w:val="000000" w:themeColor="text1"/>
          <w:sz w:val="26"/>
          <w:szCs w:val="26"/>
          <w:rtl/>
          <w:lang w:bidi="ar-EG"/>
        </w:rPr>
        <w:t>مجلة البحوث المحاسبية</w:t>
      </w:r>
      <w:r w:rsidRPr="00E24FBE">
        <w:rPr>
          <w:rFonts w:ascii="Times New Roman" w:hAnsi="Times New Roman" w:cs="Simplified Arabic" w:hint="cs"/>
          <w:color w:val="000000" w:themeColor="text1"/>
          <w:sz w:val="26"/>
          <w:szCs w:val="26"/>
          <w:rtl/>
          <w:lang w:bidi="ar-EG"/>
        </w:rPr>
        <w:t>، كلية التجارة، جامعة طنطا، المجلد الخامس، العدد الأول، 153-196.</w:t>
      </w:r>
    </w:p>
    <w:p w14:paraId="3DB59E81" w14:textId="2564CC2A" w:rsidR="004D722B" w:rsidRPr="00E24FBE" w:rsidRDefault="004D722B" w:rsidP="002209B2">
      <w:pPr>
        <w:pStyle w:val="FootnoteText"/>
        <w:numPr>
          <w:ilvl w:val="0"/>
          <w:numId w:val="22"/>
        </w:numPr>
        <w:ind w:left="469" w:hanging="469"/>
        <w:jc w:val="lowKashida"/>
        <w:rPr>
          <w:rFonts w:ascii="Times New Roman" w:hAnsi="Times New Roman" w:cs="Simplified Arabic"/>
          <w:color w:val="000000" w:themeColor="text1"/>
          <w:sz w:val="26"/>
          <w:szCs w:val="26"/>
          <w:lang w:bidi="ar-EG"/>
        </w:rPr>
      </w:pPr>
      <w:r w:rsidRPr="00E24FBE">
        <w:rPr>
          <w:rFonts w:ascii="Times New Roman" w:hAnsi="Times New Roman" w:cs="Simplified Arabic" w:hint="cs"/>
          <w:color w:val="000000" w:themeColor="text1"/>
          <w:sz w:val="26"/>
          <w:szCs w:val="26"/>
          <w:rtl/>
        </w:rPr>
        <w:t xml:space="preserve">يونس، نجاة محمد مرعى يونس، (2010)، "أثر البيانات والمعلومات المالية على أسعار الأسهم في البورصة المصرية"، </w:t>
      </w:r>
      <w:r w:rsidRPr="00E24FBE">
        <w:rPr>
          <w:rFonts w:ascii="Times New Roman" w:hAnsi="Times New Roman" w:cs="Simplified Arabic" w:hint="cs"/>
          <w:b/>
          <w:bCs/>
          <w:color w:val="000000" w:themeColor="text1"/>
          <w:sz w:val="26"/>
          <w:szCs w:val="26"/>
          <w:rtl/>
        </w:rPr>
        <w:t xml:space="preserve">مجلة الفكر </w:t>
      </w:r>
      <w:proofErr w:type="spellStart"/>
      <w:r w:rsidRPr="00E24FBE">
        <w:rPr>
          <w:rFonts w:ascii="Times New Roman" w:hAnsi="Times New Roman" w:cs="Simplified Arabic" w:hint="cs"/>
          <w:b/>
          <w:bCs/>
          <w:color w:val="000000" w:themeColor="text1"/>
          <w:sz w:val="26"/>
          <w:szCs w:val="26"/>
          <w:rtl/>
        </w:rPr>
        <w:t>المحاسبى</w:t>
      </w:r>
      <w:proofErr w:type="spellEnd"/>
      <w:r w:rsidRPr="00E24FBE">
        <w:rPr>
          <w:rFonts w:ascii="Times New Roman" w:hAnsi="Times New Roman" w:cs="Simplified Arabic" w:hint="cs"/>
          <w:color w:val="000000" w:themeColor="text1"/>
          <w:sz w:val="26"/>
          <w:szCs w:val="26"/>
          <w:rtl/>
        </w:rPr>
        <w:t xml:space="preserve">، كلية التجارة، جامعة عين شمس، المجلد الرابع، العدد </w:t>
      </w:r>
      <w:proofErr w:type="spellStart"/>
      <w:r w:rsidRPr="00E24FBE">
        <w:rPr>
          <w:rFonts w:ascii="Times New Roman" w:hAnsi="Times New Roman" w:cs="Simplified Arabic" w:hint="cs"/>
          <w:color w:val="000000" w:themeColor="text1"/>
          <w:sz w:val="26"/>
          <w:szCs w:val="26"/>
          <w:rtl/>
        </w:rPr>
        <w:t>الثانى</w:t>
      </w:r>
      <w:proofErr w:type="spellEnd"/>
      <w:r w:rsidRPr="00E24FBE">
        <w:rPr>
          <w:rFonts w:ascii="Times New Roman" w:hAnsi="Times New Roman" w:cs="Simplified Arabic" w:hint="cs"/>
          <w:color w:val="000000" w:themeColor="text1"/>
          <w:sz w:val="26"/>
          <w:szCs w:val="26"/>
          <w:rtl/>
        </w:rPr>
        <w:t>، 166-198</w:t>
      </w:r>
      <w:r w:rsidRPr="00E24FBE">
        <w:rPr>
          <w:rFonts w:ascii="Times New Roman" w:hAnsi="Times New Roman" w:cs="Simplified Arabic" w:hint="cs"/>
          <w:color w:val="000000" w:themeColor="text1"/>
          <w:sz w:val="26"/>
          <w:szCs w:val="26"/>
          <w:rtl/>
          <w:lang w:bidi="ar-EG"/>
        </w:rPr>
        <w:t>.</w:t>
      </w:r>
    </w:p>
    <w:p w14:paraId="7B8E83D7" w14:textId="778EDDC5" w:rsidR="004D722B" w:rsidRPr="00E24FBE" w:rsidRDefault="004D722B" w:rsidP="002209B2">
      <w:pPr>
        <w:pStyle w:val="FootnoteText"/>
        <w:numPr>
          <w:ilvl w:val="0"/>
          <w:numId w:val="22"/>
        </w:numPr>
        <w:ind w:left="469" w:hanging="469"/>
        <w:jc w:val="lowKashida"/>
        <w:rPr>
          <w:rFonts w:ascii="Times New Roman" w:hAnsi="Times New Roman" w:cs="Simplified Arabic"/>
          <w:color w:val="000000" w:themeColor="text1"/>
          <w:sz w:val="26"/>
          <w:szCs w:val="26"/>
          <w:rtl/>
          <w:lang w:bidi="ar-EG"/>
        </w:rPr>
      </w:pPr>
      <w:r>
        <w:rPr>
          <w:rFonts w:ascii="Times New Roman" w:hAnsi="Times New Roman" w:cs="Simplified Arabic" w:hint="cs"/>
          <w:color w:val="000000" w:themeColor="text1"/>
          <w:sz w:val="26"/>
          <w:szCs w:val="26"/>
          <w:rtl/>
        </w:rPr>
        <w:t>___________________</w:t>
      </w:r>
      <w:r w:rsidRPr="00E24FBE">
        <w:rPr>
          <w:rFonts w:ascii="Times New Roman" w:hAnsi="Times New Roman" w:cs="Simplified Arabic"/>
          <w:color w:val="000000" w:themeColor="text1"/>
          <w:sz w:val="26"/>
          <w:szCs w:val="26"/>
          <w:rtl/>
        </w:rPr>
        <w:t>،</w:t>
      </w:r>
      <w:r w:rsidRPr="00E24FBE">
        <w:rPr>
          <w:rFonts w:ascii="Times New Roman" w:hAnsi="Times New Roman" w:cs="Simplified Arabic" w:hint="cs"/>
          <w:color w:val="000000" w:themeColor="text1"/>
          <w:sz w:val="26"/>
          <w:szCs w:val="26"/>
          <w:rtl/>
        </w:rPr>
        <w:t xml:space="preserve"> (2017)، </w:t>
      </w:r>
      <w:r w:rsidRPr="00E24FBE">
        <w:rPr>
          <w:rFonts w:ascii="Times New Roman" w:hAnsi="Times New Roman" w:cs="Simplified Arabic"/>
          <w:color w:val="000000" w:themeColor="text1"/>
          <w:sz w:val="26"/>
          <w:szCs w:val="26"/>
          <w:rtl/>
        </w:rPr>
        <w:t>"</w:t>
      </w:r>
      <w:proofErr w:type="spellStart"/>
      <w:r w:rsidRPr="00E24FBE">
        <w:rPr>
          <w:rFonts w:ascii="Times New Roman" w:hAnsi="Times New Roman" w:cs="Simplified Arabic" w:hint="cs"/>
          <w:color w:val="000000" w:themeColor="text1"/>
          <w:sz w:val="26"/>
          <w:szCs w:val="26"/>
          <w:rtl/>
        </w:rPr>
        <w:t>إستخدام</w:t>
      </w:r>
      <w:proofErr w:type="spellEnd"/>
      <w:r w:rsidRPr="00E24FBE">
        <w:rPr>
          <w:rFonts w:ascii="Times New Roman" w:hAnsi="Times New Roman" w:cs="Simplified Arabic" w:hint="cs"/>
          <w:color w:val="000000" w:themeColor="text1"/>
          <w:sz w:val="26"/>
          <w:szCs w:val="26"/>
          <w:rtl/>
        </w:rPr>
        <w:t xml:space="preserve"> الدخل الشامل </w:t>
      </w:r>
      <w:proofErr w:type="spellStart"/>
      <w:r w:rsidRPr="00E24FBE">
        <w:rPr>
          <w:rFonts w:ascii="Times New Roman" w:hAnsi="Times New Roman" w:cs="Simplified Arabic" w:hint="cs"/>
          <w:color w:val="000000" w:themeColor="text1"/>
          <w:sz w:val="26"/>
          <w:szCs w:val="26"/>
          <w:rtl/>
        </w:rPr>
        <w:t>فى</w:t>
      </w:r>
      <w:proofErr w:type="spellEnd"/>
      <w:r w:rsidRPr="00E24FBE">
        <w:rPr>
          <w:rFonts w:ascii="Times New Roman" w:hAnsi="Times New Roman" w:cs="Simplified Arabic" w:hint="cs"/>
          <w:color w:val="000000" w:themeColor="text1"/>
          <w:sz w:val="26"/>
          <w:szCs w:val="26"/>
          <w:rtl/>
        </w:rPr>
        <w:t xml:space="preserve"> التنبؤ بأسعار الأسهم لترشيد قرارات المستثمرين: دراسة تطبيقية</w:t>
      </w:r>
      <w:r w:rsidRPr="00E24FBE">
        <w:rPr>
          <w:rFonts w:ascii="Times New Roman" w:hAnsi="Times New Roman" w:cs="Simplified Arabic"/>
          <w:color w:val="000000" w:themeColor="text1"/>
          <w:sz w:val="26"/>
          <w:szCs w:val="26"/>
          <w:rtl/>
        </w:rPr>
        <w:t>"</w:t>
      </w:r>
      <w:r w:rsidRPr="00E24FBE">
        <w:rPr>
          <w:rFonts w:ascii="Times New Roman" w:hAnsi="Times New Roman" w:cs="Simplified Arabic" w:hint="cs"/>
          <w:color w:val="000000" w:themeColor="text1"/>
          <w:sz w:val="26"/>
          <w:szCs w:val="26"/>
          <w:rtl/>
        </w:rPr>
        <w:t xml:space="preserve">، </w:t>
      </w:r>
      <w:r w:rsidRPr="00E24FBE">
        <w:rPr>
          <w:rFonts w:ascii="Times New Roman" w:hAnsi="Times New Roman" w:cs="Simplified Arabic" w:hint="cs"/>
          <w:b/>
          <w:bCs/>
          <w:color w:val="000000" w:themeColor="text1"/>
          <w:sz w:val="26"/>
          <w:szCs w:val="26"/>
          <w:rtl/>
        </w:rPr>
        <w:t xml:space="preserve">مجلة الفكر </w:t>
      </w:r>
      <w:proofErr w:type="spellStart"/>
      <w:r w:rsidRPr="00E24FBE">
        <w:rPr>
          <w:rFonts w:ascii="Times New Roman" w:hAnsi="Times New Roman" w:cs="Simplified Arabic" w:hint="cs"/>
          <w:b/>
          <w:bCs/>
          <w:color w:val="000000" w:themeColor="text1"/>
          <w:sz w:val="26"/>
          <w:szCs w:val="26"/>
          <w:rtl/>
        </w:rPr>
        <w:t>المحاسبى</w:t>
      </w:r>
      <w:proofErr w:type="spellEnd"/>
      <w:r w:rsidRPr="00E24FBE">
        <w:rPr>
          <w:rFonts w:ascii="Times New Roman" w:hAnsi="Times New Roman" w:cs="Simplified Arabic" w:hint="cs"/>
          <w:color w:val="000000" w:themeColor="text1"/>
          <w:sz w:val="26"/>
          <w:szCs w:val="26"/>
          <w:rtl/>
        </w:rPr>
        <w:t>، قسم المحاسبة والمراجعة، كلية التجارة، جامعة عين شمس، المجلد الواحد والعشرون، العدد الثالث، 1084-1111</w:t>
      </w:r>
      <w:r w:rsidRPr="00E24FBE">
        <w:rPr>
          <w:rFonts w:ascii="Times New Roman" w:hAnsi="Times New Roman" w:cs="Simplified Arabic" w:hint="cs"/>
          <w:color w:val="000000" w:themeColor="text1"/>
          <w:sz w:val="26"/>
          <w:szCs w:val="26"/>
          <w:rtl/>
          <w:lang w:bidi="ar-EG"/>
        </w:rPr>
        <w:t>.</w:t>
      </w:r>
    </w:p>
    <w:p w14:paraId="52FA8E69" w14:textId="706445F9" w:rsidR="004D722B" w:rsidRPr="00C85ED3" w:rsidRDefault="000F0CAB" w:rsidP="004D722B">
      <w:pPr>
        <w:jc w:val="lowKashida"/>
        <w:rPr>
          <w:rFonts w:eastAsiaTheme="minorEastAsia"/>
          <w:b/>
          <w:bCs/>
          <w:color w:val="000000" w:themeColor="text1"/>
          <w:lang w:bidi="ar-EG"/>
        </w:rPr>
      </w:pPr>
      <w:r w:rsidRPr="00C85ED3">
        <w:rPr>
          <w:rFonts w:eastAsiaTheme="minorEastAsia" w:hint="cs"/>
          <w:b/>
          <w:bCs/>
          <w:color w:val="000000" w:themeColor="text1"/>
          <w:rtl/>
          <w:lang w:bidi="ar-EG"/>
        </w:rPr>
        <w:t>المراجع باللغة الأجنبية:</w:t>
      </w:r>
    </w:p>
    <w:p w14:paraId="71363559" w14:textId="77777777" w:rsidR="004D722B" w:rsidRPr="00E24FBE" w:rsidRDefault="004D722B" w:rsidP="002209B2">
      <w:pPr>
        <w:pStyle w:val="FootnoteText"/>
        <w:numPr>
          <w:ilvl w:val="0"/>
          <w:numId w:val="23"/>
        </w:numPr>
        <w:bidi w:val="0"/>
        <w:ind w:left="284" w:hanging="284"/>
        <w:jc w:val="lowKashida"/>
        <w:rPr>
          <w:rFonts w:ascii="Times New Roman" w:hAnsi="Times New Roman" w:cs="Simplified Arabic"/>
          <w:color w:val="000000" w:themeColor="text1"/>
          <w:sz w:val="26"/>
          <w:szCs w:val="26"/>
        </w:rPr>
      </w:pPr>
      <w:r w:rsidRPr="00E24FBE">
        <w:rPr>
          <w:rFonts w:ascii="Times New Roman" w:hAnsi="Times New Roman" w:cs="Simplified Arabic"/>
          <w:color w:val="000000" w:themeColor="text1"/>
          <w:sz w:val="26"/>
          <w:szCs w:val="26"/>
        </w:rPr>
        <w:t xml:space="preserve">Acar, M. and </w:t>
      </w:r>
      <w:proofErr w:type="spellStart"/>
      <w:r w:rsidRPr="00E24FBE">
        <w:rPr>
          <w:rFonts w:ascii="Times New Roman" w:hAnsi="Times New Roman" w:cs="Simplified Arabic"/>
          <w:color w:val="000000" w:themeColor="text1"/>
          <w:sz w:val="26"/>
          <w:szCs w:val="26"/>
        </w:rPr>
        <w:t>Karacaer</w:t>
      </w:r>
      <w:proofErr w:type="spellEnd"/>
      <w:r w:rsidRPr="00E24FBE">
        <w:rPr>
          <w:rFonts w:ascii="Times New Roman" w:hAnsi="Times New Roman" w:cs="Simplified Arabic"/>
          <w:color w:val="000000" w:themeColor="text1"/>
          <w:sz w:val="26"/>
          <w:szCs w:val="26"/>
        </w:rPr>
        <w:t xml:space="preserve">, S. (2017), Comparing the usefulness of net income versus comprehensive income in terms of firm performance: Borsa Istanbul Case. </w:t>
      </w:r>
      <w:r w:rsidRPr="00E24FBE">
        <w:rPr>
          <w:rFonts w:ascii="Times New Roman" w:hAnsi="Times New Roman" w:cs="Simplified Arabic"/>
          <w:b/>
          <w:bCs/>
          <w:color w:val="000000" w:themeColor="text1"/>
          <w:sz w:val="26"/>
          <w:szCs w:val="26"/>
        </w:rPr>
        <w:t>International Review of Economics and Management</w:t>
      </w:r>
      <w:r w:rsidRPr="00E24FBE">
        <w:rPr>
          <w:rFonts w:ascii="Times New Roman" w:hAnsi="Times New Roman" w:cs="Simplified Arabic"/>
          <w:color w:val="000000" w:themeColor="text1"/>
          <w:sz w:val="26"/>
          <w:szCs w:val="26"/>
        </w:rPr>
        <w:t>, 5(4): 97-118.</w:t>
      </w:r>
    </w:p>
    <w:p w14:paraId="47A9840E" w14:textId="4D44447D" w:rsidR="004D722B" w:rsidRPr="00E24FBE" w:rsidRDefault="004D722B" w:rsidP="002209B2">
      <w:pPr>
        <w:pStyle w:val="FootnoteText"/>
        <w:numPr>
          <w:ilvl w:val="0"/>
          <w:numId w:val="23"/>
        </w:numPr>
        <w:bidi w:val="0"/>
        <w:ind w:left="284" w:hanging="284"/>
        <w:jc w:val="lowKashida"/>
        <w:rPr>
          <w:rFonts w:ascii="Times New Roman" w:hAnsi="Times New Roman" w:cs="Simplified Arabic"/>
          <w:color w:val="000000" w:themeColor="text1"/>
          <w:sz w:val="26"/>
          <w:szCs w:val="26"/>
          <w:lang w:bidi="ar-EG"/>
        </w:rPr>
      </w:pPr>
      <w:r w:rsidRPr="00E24FBE">
        <w:rPr>
          <w:rFonts w:ascii="Times New Roman" w:hAnsi="Times New Roman" w:cs="Simplified Arabic"/>
          <w:color w:val="000000" w:themeColor="text1"/>
          <w:sz w:val="26"/>
          <w:szCs w:val="26"/>
        </w:rPr>
        <w:t xml:space="preserve">Bamber, L., Jiang, J., Petroni, K. and Wang I. (2010), Comprehensive Income: </w:t>
      </w:r>
      <w:proofErr w:type="spellStart"/>
      <w:r w:rsidRPr="00E24FBE">
        <w:rPr>
          <w:rFonts w:ascii="Times New Roman" w:hAnsi="Times New Roman" w:cs="Simplified Arabic"/>
          <w:color w:val="000000" w:themeColor="text1"/>
          <w:sz w:val="26"/>
          <w:szCs w:val="26"/>
        </w:rPr>
        <w:t>Who’S</w:t>
      </w:r>
      <w:proofErr w:type="spellEnd"/>
      <w:r w:rsidRPr="00E24FBE">
        <w:rPr>
          <w:rFonts w:ascii="Times New Roman" w:hAnsi="Times New Roman" w:cs="Simplified Arabic"/>
          <w:color w:val="000000" w:themeColor="text1"/>
          <w:sz w:val="26"/>
          <w:szCs w:val="26"/>
        </w:rPr>
        <w:t xml:space="preserve"> Afraid of Performance </w:t>
      </w:r>
      <w:proofErr w:type="gramStart"/>
      <w:r w:rsidRPr="00E24FBE">
        <w:rPr>
          <w:rFonts w:ascii="Times New Roman" w:hAnsi="Times New Roman" w:cs="Simplified Arabic"/>
          <w:color w:val="000000" w:themeColor="text1"/>
          <w:sz w:val="26"/>
          <w:szCs w:val="26"/>
        </w:rPr>
        <w:t>Reporting?.</w:t>
      </w:r>
      <w:proofErr w:type="gramEnd"/>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 xml:space="preserve">The Accounting Review, </w:t>
      </w:r>
      <w:r w:rsidRPr="00E24FBE">
        <w:rPr>
          <w:rFonts w:ascii="Times New Roman" w:hAnsi="Times New Roman" w:cs="Simplified Arabic"/>
          <w:color w:val="000000" w:themeColor="text1"/>
          <w:sz w:val="26"/>
          <w:szCs w:val="26"/>
        </w:rPr>
        <w:t>85(1): 79-126.</w:t>
      </w:r>
    </w:p>
    <w:p w14:paraId="4D3BD624" w14:textId="77777777" w:rsidR="004D722B" w:rsidRPr="00E24FBE" w:rsidRDefault="004D722B" w:rsidP="002209B2">
      <w:pPr>
        <w:pStyle w:val="FootnoteText"/>
        <w:numPr>
          <w:ilvl w:val="0"/>
          <w:numId w:val="23"/>
        </w:numPr>
        <w:bidi w:val="0"/>
        <w:ind w:left="284" w:hanging="284"/>
        <w:jc w:val="lowKashida"/>
        <w:rPr>
          <w:rFonts w:ascii="Times New Roman" w:hAnsi="Times New Roman" w:cs="Simplified Arabic"/>
          <w:color w:val="000000" w:themeColor="text1"/>
          <w:sz w:val="26"/>
          <w:szCs w:val="26"/>
          <w:lang w:bidi="ar-EG"/>
        </w:rPr>
      </w:pPr>
      <w:r w:rsidRPr="00E24FBE">
        <w:rPr>
          <w:rFonts w:ascii="Times New Roman" w:hAnsi="Times New Roman" w:cs="Simplified Arabic"/>
          <w:color w:val="000000" w:themeColor="text1"/>
          <w:sz w:val="26"/>
          <w:szCs w:val="26"/>
        </w:rPr>
        <w:t xml:space="preserve">Banks, L., Hodgson, A. and </w:t>
      </w:r>
      <w:proofErr w:type="spellStart"/>
      <w:r w:rsidRPr="00E24FBE">
        <w:rPr>
          <w:rFonts w:ascii="Times New Roman" w:hAnsi="Times New Roman" w:cs="Simplified Arabic"/>
          <w:color w:val="000000" w:themeColor="text1"/>
          <w:sz w:val="26"/>
          <w:szCs w:val="26"/>
        </w:rPr>
        <w:t>Ressell</w:t>
      </w:r>
      <w:proofErr w:type="spellEnd"/>
      <w:r w:rsidRPr="00E24FBE">
        <w:rPr>
          <w:rFonts w:ascii="Times New Roman" w:hAnsi="Times New Roman" w:cs="Simplified Arabic"/>
          <w:color w:val="000000" w:themeColor="text1"/>
          <w:sz w:val="26"/>
          <w:szCs w:val="26"/>
        </w:rPr>
        <w:t xml:space="preserve">, M. (2018), the location of comprehensive income reporting – doss it pass the financial analyst revision </w:t>
      </w:r>
      <w:proofErr w:type="gramStart"/>
      <w:r w:rsidRPr="00E24FBE">
        <w:rPr>
          <w:rFonts w:ascii="Times New Roman" w:hAnsi="Times New Roman" w:cs="Simplified Arabic"/>
          <w:color w:val="000000" w:themeColor="text1"/>
          <w:sz w:val="26"/>
          <w:szCs w:val="26"/>
        </w:rPr>
        <w:t>test?.</w:t>
      </w:r>
      <w:proofErr w:type="gramEnd"/>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Accounting Research Journal</w:t>
      </w:r>
      <w:r w:rsidRPr="00E24FBE">
        <w:rPr>
          <w:rFonts w:ascii="Times New Roman" w:hAnsi="Times New Roman" w:cs="Simplified Arabic"/>
          <w:color w:val="000000" w:themeColor="text1"/>
          <w:sz w:val="26"/>
          <w:szCs w:val="26"/>
        </w:rPr>
        <w:t>, 31(4): 531-550.</w:t>
      </w:r>
    </w:p>
    <w:p w14:paraId="0B9300BE" w14:textId="77777777" w:rsidR="004D722B" w:rsidRPr="00E24FBE" w:rsidRDefault="004D722B" w:rsidP="002209B2">
      <w:pPr>
        <w:pStyle w:val="FootnoteText"/>
        <w:numPr>
          <w:ilvl w:val="0"/>
          <w:numId w:val="23"/>
        </w:numPr>
        <w:bidi w:val="0"/>
        <w:ind w:left="284" w:hanging="284"/>
        <w:jc w:val="lowKashida"/>
        <w:rPr>
          <w:rFonts w:ascii="Times New Roman" w:hAnsi="Times New Roman" w:cs="Simplified Arabic"/>
          <w:color w:val="000000" w:themeColor="text1"/>
          <w:sz w:val="26"/>
          <w:szCs w:val="26"/>
          <w:rtl/>
          <w:lang w:bidi="ar-EG"/>
        </w:rPr>
      </w:pPr>
      <w:bookmarkStart w:id="12" w:name="_Hlk149076637"/>
      <w:r w:rsidRPr="00E24FBE">
        <w:rPr>
          <w:rFonts w:ascii="Times New Roman" w:hAnsi="Times New Roman" w:cs="Simplified Arabic"/>
          <w:color w:val="000000" w:themeColor="text1"/>
          <w:sz w:val="26"/>
          <w:szCs w:val="26"/>
        </w:rPr>
        <w:lastRenderedPageBreak/>
        <w:t xml:space="preserve">Bhattarai, Y. (2014), Determinants of share price of Nepalese commercial banks, </w:t>
      </w:r>
      <w:r w:rsidRPr="00E24FBE">
        <w:rPr>
          <w:rFonts w:ascii="Times New Roman" w:hAnsi="Times New Roman" w:cs="Simplified Arabic"/>
          <w:b/>
          <w:bCs/>
          <w:color w:val="000000" w:themeColor="text1"/>
          <w:sz w:val="26"/>
          <w:szCs w:val="26"/>
        </w:rPr>
        <w:t>Economic Journal of Development Issue</w:t>
      </w:r>
      <w:r w:rsidRPr="00E24FBE">
        <w:rPr>
          <w:rFonts w:ascii="Times New Roman" w:hAnsi="Times New Roman" w:cs="Simplified Arabic"/>
          <w:color w:val="000000" w:themeColor="text1"/>
          <w:sz w:val="26"/>
          <w:szCs w:val="26"/>
        </w:rPr>
        <w:t>, 17(1): 187-198</w:t>
      </w:r>
      <w:bookmarkEnd w:id="12"/>
      <w:r w:rsidRPr="00E24FBE">
        <w:rPr>
          <w:rFonts w:ascii="Times New Roman" w:hAnsi="Times New Roman" w:cs="Simplified Arabic"/>
          <w:color w:val="000000" w:themeColor="text1"/>
          <w:sz w:val="26"/>
          <w:szCs w:val="26"/>
        </w:rPr>
        <w:t>.</w:t>
      </w:r>
    </w:p>
    <w:p w14:paraId="21902E73" w14:textId="77777777" w:rsidR="004D722B" w:rsidRPr="00E24FBE" w:rsidRDefault="004D722B" w:rsidP="002209B2">
      <w:pPr>
        <w:pStyle w:val="FootnoteText"/>
        <w:numPr>
          <w:ilvl w:val="0"/>
          <w:numId w:val="23"/>
        </w:numPr>
        <w:bidi w:val="0"/>
        <w:ind w:left="284" w:hanging="284"/>
        <w:jc w:val="lowKashida"/>
        <w:rPr>
          <w:rFonts w:ascii="Times New Roman" w:hAnsi="Times New Roman" w:cs="Simplified Arabic"/>
          <w:color w:val="000000" w:themeColor="text1"/>
          <w:spacing w:val="-6"/>
          <w:sz w:val="26"/>
          <w:szCs w:val="26"/>
        </w:rPr>
      </w:pPr>
      <w:r w:rsidRPr="00E24FBE">
        <w:rPr>
          <w:rFonts w:ascii="Times New Roman" w:hAnsi="Times New Roman" w:cs="Simplified Arabic"/>
          <w:color w:val="000000" w:themeColor="text1"/>
          <w:sz w:val="26"/>
          <w:szCs w:val="26"/>
        </w:rPr>
        <w:t xml:space="preserve">Campbell, J., Downes, J. and Schwartz, W. (2013), Do sophisticated investors use the information provided by the fair value of cash flow hedges. </w:t>
      </w:r>
      <w:r w:rsidRPr="00E24FBE">
        <w:rPr>
          <w:rFonts w:ascii="Times New Roman" w:hAnsi="Times New Roman" w:cs="Simplified Arabic"/>
          <w:b/>
          <w:bCs/>
          <w:color w:val="000000" w:themeColor="text1"/>
          <w:sz w:val="26"/>
          <w:szCs w:val="26"/>
        </w:rPr>
        <w:t>Review of Accounting</w:t>
      </w:r>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studies</w:t>
      </w:r>
      <w:r w:rsidRPr="00E24FBE">
        <w:rPr>
          <w:rFonts w:ascii="Times New Roman" w:hAnsi="Times New Roman" w:cs="Simplified Arabic"/>
          <w:color w:val="000000" w:themeColor="text1"/>
          <w:sz w:val="26"/>
          <w:szCs w:val="26"/>
        </w:rPr>
        <w:t>,</w:t>
      </w:r>
      <w:r w:rsidRPr="00E24FBE">
        <w:rPr>
          <w:rFonts w:ascii="Times New Roman" w:hAnsi="Times New Roman" w:cs="Simplified Arabic"/>
          <w:b/>
          <w:bCs/>
          <w:color w:val="000000" w:themeColor="text1"/>
          <w:sz w:val="26"/>
          <w:szCs w:val="26"/>
        </w:rPr>
        <w:t xml:space="preserve"> forthcoming</w:t>
      </w:r>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available at</w:t>
      </w:r>
      <w:r w:rsidRPr="00E24FBE">
        <w:rPr>
          <w:rFonts w:ascii="Times New Roman" w:hAnsi="Times New Roman" w:cs="Simplified Arabic"/>
          <w:color w:val="000000" w:themeColor="text1"/>
          <w:sz w:val="26"/>
          <w:szCs w:val="26"/>
        </w:rPr>
        <w:t xml:space="preserve">: </w:t>
      </w:r>
      <w:hyperlink r:id="rId8" w:history="1">
        <w:r w:rsidRPr="00E24FBE">
          <w:rPr>
            <w:rStyle w:val="Hyperlink"/>
            <w:rFonts w:ascii="Times New Roman" w:hAnsi="Times New Roman" w:cs="Simplified Arabic"/>
            <w:color w:val="000000" w:themeColor="text1"/>
            <w:sz w:val="26"/>
            <w:szCs w:val="26"/>
          </w:rPr>
          <w:t>http://ssrn:com/abstract 1999009</w:t>
        </w:r>
      </w:hyperlink>
      <w:r w:rsidRPr="00E24FBE">
        <w:rPr>
          <w:rFonts w:ascii="Times New Roman" w:hAnsi="Times New Roman" w:cs="Simplified Arabic"/>
          <w:color w:val="000000" w:themeColor="text1"/>
          <w:sz w:val="26"/>
          <w:szCs w:val="26"/>
        </w:rPr>
        <w:t>, 1-59.</w:t>
      </w:r>
    </w:p>
    <w:p w14:paraId="3352B8CF" w14:textId="77777777" w:rsidR="004D722B" w:rsidRPr="00E24FBE" w:rsidRDefault="004D722B" w:rsidP="002209B2">
      <w:pPr>
        <w:pStyle w:val="FootnoteText"/>
        <w:numPr>
          <w:ilvl w:val="0"/>
          <w:numId w:val="23"/>
        </w:numPr>
        <w:bidi w:val="0"/>
        <w:ind w:left="284" w:hanging="284"/>
        <w:jc w:val="lowKashida"/>
        <w:rPr>
          <w:rFonts w:ascii="Times New Roman" w:hAnsi="Times New Roman" w:cs="Simplified Arabic"/>
          <w:color w:val="000000" w:themeColor="text1"/>
          <w:sz w:val="26"/>
          <w:szCs w:val="26"/>
          <w:lang w:bidi="ar-EG"/>
        </w:rPr>
      </w:pPr>
      <w:r w:rsidRPr="00E24FBE">
        <w:rPr>
          <w:rFonts w:ascii="Times New Roman" w:hAnsi="Times New Roman" w:cs="Simplified Arabic"/>
          <w:color w:val="000000" w:themeColor="text1"/>
          <w:sz w:val="26"/>
          <w:szCs w:val="26"/>
        </w:rPr>
        <w:t xml:space="preserve">Chambers, D. J., Linsmeier, T., Shakespeare, C. and </w:t>
      </w:r>
      <w:proofErr w:type="spellStart"/>
      <w:r w:rsidRPr="00E24FBE">
        <w:rPr>
          <w:rFonts w:ascii="Times New Roman" w:hAnsi="Times New Roman" w:cs="Simplified Arabic"/>
          <w:color w:val="000000" w:themeColor="text1"/>
          <w:sz w:val="26"/>
          <w:szCs w:val="26"/>
        </w:rPr>
        <w:t>Sougiannis</w:t>
      </w:r>
      <w:proofErr w:type="spellEnd"/>
      <w:r w:rsidRPr="00E24FBE">
        <w:rPr>
          <w:rFonts w:ascii="Times New Roman" w:hAnsi="Times New Roman" w:cs="Simplified Arabic"/>
          <w:color w:val="000000" w:themeColor="text1"/>
          <w:sz w:val="26"/>
          <w:szCs w:val="26"/>
        </w:rPr>
        <w:t xml:space="preserve">, T. (2007), An evaluation of SFAS No.130 comprehensive income </w:t>
      </w:r>
      <w:proofErr w:type="spellStart"/>
      <w:r w:rsidRPr="00E24FBE">
        <w:rPr>
          <w:rFonts w:ascii="Times New Roman" w:hAnsi="Times New Roman" w:cs="Simplified Arabic"/>
          <w:color w:val="000000" w:themeColor="text1"/>
          <w:sz w:val="26"/>
          <w:szCs w:val="26"/>
        </w:rPr>
        <w:t>disclousures</w:t>
      </w:r>
      <w:proofErr w:type="spellEnd"/>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 xml:space="preserve">Review of Accounting Studies, </w:t>
      </w:r>
      <w:r w:rsidRPr="00E24FBE">
        <w:rPr>
          <w:rFonts w:ascii="Times New Roman" w:hAnsi="Times New Roman" w:cs="Simplified Arabic"/>
          <w:color w:val="000000" w:themeColor="text1"/>
          <w:sz w:val="26"/>
          <w:szCs w:val="26"/>
        </w:rPr>
        <w:t>21(4): 557-593.</w:t>
      </w:r>
    </w:p>
    <w:p w14:paraId="0788BE89" w14:textId="77777777" w:rsidR="004D722B" w:rsidRPr="00E24FBE" w:rsidRDefault="004D722B" w:rsidP="002209B2">
      <w:pPr>
        <w:pStyle w:val="FootnoteText"/>
        <w:numPr>
          <w:ilvl w:val="0"/>
          <w:numId w:val="23"/>
        </w:numPr>
        <w:bidi w:val="0"/>
        <w:ind w:left="284" w:hanging="284"/>
        <w:jc w:val="lowKashida"/>
        <w:rPr>
          <w:rFonts w:ascii="Times New Roman" w:hAnsi="Times New Roman" w:cs="Simplified Arabic"/>
          <w:color w:val="000000" w:themeColor="text1"/>
          <w:spacing w:val="-6"/>
          <w:sz w:val="26"/>
          <w:szCs w:val="26"/>
        </w:rPr>
      </w:pPr>
      <w:r w:rsidRPr="00E24FBE">
        <w:rPr>
          <w:rFonts w:ascii="Times New Roman" w:hAnsi="Times New Roman" w:cs="Simplified Arabic"/>
          <w:color w:val="000000" w:themeColor="text1"/>
          <w:sz w:val="26"/>
          <w:szCs w:val="26"/>
        </w:rPr>
        <w:t xml:space="preserve">Devalle, A. and </w:t>
      </w:r>
      <w:proofErr w:type="spellStart"/>
      <w:r w:rsidRPr="00E24FBE">
        <w:rPr>
          <w:rFonts w:ascii="Times New Roman" w:hAnsi="Times New Roman" w:cs="Simplified Arabic"/>
          <w:color w:val="000000" w:themeColor="text1"/>
          <w:sz w:val="26"/>
          <w:szCs w:val="26"/>
        </w:rPr>
        <w:t>Magarini</w:t>
      </w:r>
      <w:proofErr w:type="spellEnd"/>
      <w:r w:rsidRPr="00E24FBE">
        <w:rPr>
          <w:rFonts w:ascii="Times New Roman" w:hAnsi="Times New Roman" w:cs="Simplified Arabic"/>
          <w:color w:val="000000" w:themeColor="text1"/>
          <w:sz w:val="26"/>
          <w:szCs w:val="26"/>
        </w:rPr>
        <w:t xml:space="preserve">, R. (2012), assessing the value relevance of total comprehensive income under IFRS: An </w:t>
      </w:r>
      <w:proofErr w:type="spellStart"/>
      <w:r w:rsidRPr="00E24FBE">
        <w:rPr>
          <w:rFonts w:ascii="Times New Roman" w:hAnsi="Times New Roman" w:cs="Simplified Arabic"/>
          <w:color w:val="000000" w:themeColor="text1"/>
          <w:sz w:val="26"/>
          <w:szCs w:val="26"/>
        </w:rPr>
        <w:t>Impirical</w:t>
      </w:r>
      <w:proofErr w:type="spellEnd"/>
      <w:r w:rsidRPr="00E24FBE">
        <w:rPr>
          <w:rFonts w:ascii="Times New Roman" w:hAnsi="Times New Roman" w:cs="Simplified Arabic"/>
          <w:color w:val="000000" w:themeColor="text1"/>
          <w:sz w:val="26"/>
          <w:szCs w:val="26"/>
        </w:rPr>
        <w:t xml:space="preserve"> Evidence </w:t>
      </w:r>
      <w:proofErr w:type="gramStart"/>
      <w:r w:rsidRPr="00E24FBE">
        <w:rPr>
          <w:rFonts w:ascii="Times New Roman" w:hAnsi="Times New Roman" w:cs="Simplified Arabic"/>
          <w:color w:val="000000" w:themeColor="text1"/>
          <w:sz w:val="26"/>
          <w:szCs w:val="26"/>
        </w:rPr>
        <w:t>From</w:t>
      </w:r>
      <w:proofErr w:type="gramEnd"/>
      <w:r w:rsidRPr="00E24FBE">
        <w:rPr>
          <w:rFonts w:ascii="Times New Roman" w:hAnsi="Times New Roman" w:cs="Simplified Arabic"/>
          <w:color w:val="000000" w:themeColor="text1"/>
          <w:sz w:val="26"/>
          <w:szCs w:val="26"/>
        </w:rPr>
        <w:t xml:space="preserve"> European Stock Exchanges. </w:t>
      </w:r>
      <w:r w:rsidRPr="00E24FBE">
        <w:rPr>
          <w:rFonts w:ascii="Times New Roman" w:hAnsi="Times New Roman" w:cs="Simplified Arabic"/>
          <w:b/>
          <w:bCs/>
          <w:color w:val="000000" w:themeColor="text1"/>
          <w:sz w:val="26"/>
          <w:szCs w:val="26"/>
        </w:rPr>
        <w:t>Journal in</w:t>
      </w:r>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Accounting Auditing and Performance Evaluation</w:t>
      </w:r>
      <w:r w:rsidRPr="00E24FBE">
        <w:rPr>
          <w:rFonts w:ascii="Times New Roman" w:hAnsi="Times New Roman" w:cs="Simplified Arabic"/>
          <w:color w:val="000000" w:themeColor="text1"/>
          <w:sz w:val="26"/>
          <w:szCs w:val="26"/>
        </w:rPr>
        <w:t>, 8(1): 43-68.</w:t>
      </w:r>
    </w:p>
    <w:p w14:paraId="24023F60" w14:textId="77777777" w:rsidR="004D722B" w:rsidRPr="00E24FBE" w:rsidRDefault="004D722B" w:rsidP="002209B2">
      <w:pPr>
        <w:pStyle w:val="FootnoteText"/>
        <w:numPr>
          <w:ilvl w:val="0"/>
          <w:numId w:val="23"/>
        </w:numPr>
        <w:bidi w:val="0"/>
        <w:ind w:left="284" w:hanging="284"/>
        <w:jc w:val="lowKashida"/>
        <w:rPr>
          <w:rFonts w:ascii="Times New Roman" w:hAnsi="Times New Roman" w:cs="Simplified Arabic"/>
          <w:color w:val="000000" w:themeColor="text1"/>
          <w:sz w:val="26"/>
          <w:szCs w:val="26"/>
          <w:lang w:bidi="ar-EG"/>
        </w:rPr>
      </w:pPr>
      <w:r w:rsidRPr="00E24FBE">
        <w:rPr>
          <w:rFonts w:ascii="Times New Roman" w:hAnsi="Times New Roman" w:cs="Simplified Arabic"/>
          <w:color w:val="000000" w:themeColor="text1"/>
          <w:sz w:val="26"/>
          <w:szCs w:val="26"/>
        </w:rPr>
        <w:t>Durocher, S. and Fortin, A. (2015), Comprehensive income information: a user’</w:t>
      </w:r>
      <w:r w:rsidRPr="00E24FBE">
        <w:rPr>
          <w:rFonts w:ascii="Times New Roman" w:hAnsi="Times New Roman" w:cs="Simplified Arabic"/>
          <w:color w:val="000000" w:themeColor="text1"/>
          <w:sz w:val="26"/>
          <w:szCs w:val="26"/>
          <w:lang w:bidi="ar-EG"/>
        </w:rPr>
        <w:t xml:space="preserve">s perspective, </w:t>
      </w:r>
      <w:r w:rsidRPr="00E24FBE">
        <w:rPr>
          <w:rFonts w:ascii="Times New Roman" w:hAnsi="Times New Roman" w:cs="Simplified Arabic"/>
          <w:b/>
          <w:bCs/>
          <w:color w:val="000000" w:themeColor="text1"/>
          <w:sz w:val="26"/>
          <w:szCs w:val="26"/>
          <w:lang w:bidi="ar-EG"/>
        </w:rPr>
        <w:t xml:space="preserve">International Journal of </w:t>
      </w:r>
      <w:proofErr w:type="spellStart"/>
      <w:r w:rsidRPr="00E24FBE">
        <w:rPr>
          <w:rFonts w:ascii="Times New Roman" w:hAnsi="Times New Roman" w:cs="Simplified Arabic"/>
          <w:b/>
          <w:bCs/>
          <w:color w:val="000000" w:themeColor="text1"/>
          <w:sz w:val="26"/>
          <w:szCs w:val="26"/>
          <w:lang w:bidi="ar-EG"/>
        </w:rPr>
        <w:t>Behavioural</w:t>
      </w:r>
      <w:proofErr w:type="spellEnd"/>
      <w:r w:rsidRPr="00E24FBE">
        <w:rPr>
          <w:rFonts w:ascii="Times New Roman" w:hAnsi="Times New Roman" w:cs="Simplified Arabic"/>
          <w:b/>
          <w:bCs/>
          <w:color w:val="000000" w:themeColor="text1"/>
          <w:sz w:val="26"/>
          <w:szCs w:val="26"/>
          <w:lang w:bidi="ar-EG"/>
        </w:rPr>
        <w:t xml:space="preserve"> Accounting and Finance</w:t>
      </w:r>
      <w:r w:rsidRPr="00E24FBE">
        <w:rPr>
          <w:rFonts w:ascii="Times New Roman" w:hAnsi="Times New Roman" w:cs="Simplified Arabic"/>
          <w:color w:val="000000" w:themeColor="text1"/>
          <w:sz w:val="26"/>
          <w:szCs w:val="26"/>
          <w:lang w:bidi="ar-EG"/>
        </w:rPr>
        <w:t xml:space="preserve">, 5(1): 27-56. </w:t>
      </w:r>
    </w:p>
    <w:p w14:paraId="054602CC" w14:textId="77777777" w:rsidR="004D722B" w:rsidRPr="00E24FBE" w:rsidRDefault="004D722B" w:rsidP="002209B2">
      <w:pPr>
        <w:pStyle w:val="FootnoteText"/>
        <w:numPr>
          <w:ilvl w:val="0"/>
          <w:numId w:val="23"/>
        </w:numPr>
        <w:bidi w:val="0"/>
        <w:ind w:left="284" w:hanging="284"/>
        <w:jc w:val="lowKashida"/>
        <w:rPr>
          <w:rFonts w:ascii="Times New Roman" w:hAnsi="Times New Roman" w:cs="Simplified Arabic"/>
          <w:color w:val="000000" w:themeColor="text1"/>
          <w:sz w:val="26"/>
          <w:szCs w:val="26"/>
          <w:rtl/>
        </w:rPr>
      </w:pPr>
      <w:r w:rsidRPr="00E24FBE">
        <w:rPr>
          <w:rFonts w:ascii="Times New Roman" w:hAnsi="Times New Roman" w:cs="Simplified Arabic"/>
          <w:color w:val="000000" w:themeColor="text1"/>
          <w:sz w:val="26"/>
          <w:szCs w:val="26"/>
        </w:rPr>
        <w:t xml:space="preserve">Ferraro, O. (2011), Comprehensive Income in Italy: Reporting Preferences and Its Effects on Performance </w:t>
      </w:r>
      <w:proofErr w:type="gramStart"/>
      <w:r w:rsidRPr="00E24FBE">
        <w:rPr>
          <w:rFonts w:ascii="Times New Roman" w:hAnsi="Times New Roman" w:cs="Simplified Arabic"/>
          <w:color w:val="000000" w:themeColor="text1"/>
          <w:sz w:val="26"/>
          <w:szCs w:val="26"/>
        </w:rPr>
        <w:t>Indicators..</w:t>
      </w:r>
      <w:proofErr w:type="gramEnd"/>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Journal of Modern Accounting and Auditing</w:t>
      </w:r>
      <w:r w:rsidRPr="00E24FBE">
        <w:rPr>
          <w:rFonts w:ascii="Times New Roman" w:hAnsi="Times New Roman" w:cs="Simplified Arabic"/>
          <w:color w:val="000000" w:themeColor="text1"/>
          <w:sz w:val="26"/>
          <w:szCs w:val="26"/>
        </w:rPr>
        <w:t>, 7(12): 1315-1328.</w:t>
      </w:r>
    </w:p>
    <w:p w14:paraId="69E5F312" w14:textId="77777777" w:rsidR="004D722B" w:rsidRPr="00E24FBE" w:rsidRDefault="004D722B" w:rsidP="002209B2">
      <w:pPr>
        <w:pStyle w:val="FootnoteText"/>
        <w:numPr>
          <w:ilvl w:val="0"/>
          <w:numId w:val="23"/>
        </w:numPr>
        <w:bidi w:val="0"/>
        <w:ind w:left="459" w:hanging="459"/>
        <w:jc w:val="lowKashida"/>
        <w:rPr>
          <w:rFonts w:ascii="Times New Roman" w:hAnsi="Times New Roman" w:cs="Simplified Arabic"/>
          <w:color w:val="000000" w:themeColor="text1"/>
          <w:sz w:val="26"/>
          <w:szCs w:val="26"/>
          <w:lang w:bidi="ar-EG"/>
        </w:rPr>
      </w:pPr>
      <w:r w:rsidRPr="00E24FBE">
        <w:rPr>
          <w:rFonts w:ascii="Times New Roman" w:hAnsi="Times New Roman" w:cs="Simplified Arabic"/>
          <w:color w:val="000000" w:themeColor="text1"/>
          <w:sz w:val="26"/>
          <w:szCs w:val="26"/>
        </w:rPr>
        <w:t>Gazzola, P. and Amelio, S. (2014), Is total comprehensive income or net income better for the evaluation of companies</w:t>
      </w:r>
      <w:r w:rsidRPr="00E24FBE">
        <w:rPr>
          <w:rFonts w:ascii="Sylfaen" w:hAnsi="Sylfaen" w:cs="Sylfaen"/>
          <w:color w:val="000000" w:themeColor="text1"/>
          <w:sz w:val="26"/>
          <w:szCs w:val="26"/>
        </w:rPr>
        <w:t>՚</w:t>
      </w:r>
      <w:r w:rsidRPr="00E24FBE">
        <w:rPr>
          <w:rFonts w:ascii="Times New Roman" w:hAnsi="Times New Roman" w:cs="Simplified Arabic"/>
          <w:color w:val="000000" w:themeColor="text1"/>
          <w:sz w:val="26"/>
          <w:szCs w:val="26"/>
        </w:rPr>
        <w:t xml:space="preserve"> financial </w:t>
      </w:r>
      <w:proofErr w:type="gramStart"/>
      <w:r w:rsidRPr="00E24FBE">
        <w:rPr>
          <w:rFonts w:ascii="Times New Roman" w:hAnsi="Times New Roman" w:cs="Simplified Arabic"/>
          <w:color w:val="000000" w:themeColor="text1"/>
          <w:sz w:val="26"/>
          <w:szCs w:val="26"/>
        </w:rPr>
        <w:t>performance ?</w:t>
      </w:r>
      <w:proofErr w:type="gramEnd"/>
      <w:r w:rsidRPr="00E24FBE">
        <w:rPr>
          <w:rFonts w:ascii="Times New Roman" w:hAnsi="Times New Roman" w:cs="Simplified Arabic"/>
          <w:color w:val="000000" w:themeColor="text1"/>
          <w:sz w:val="26"/>
          <w:szCs w:val="26"/>
        </w:rPr>
        <w:t>.</w:t>
      </w:r>
      <w:r w:rsidRPr="00E24FBE">
        <w:rPr>
          <w:rFonts w:ascii="Times New Roman" w:hAnsi="Times New Roman" w:cs="Simplified Arabic"/>
          <w:b/>
          <w:bCs/>
          <w:color w:val="000000" w:themeColor="text1"/>
          <w:sz w:val="26"/>
          <w:szCs w:val="26"/>
        </w:rPr>
        <w:t xml:space="preserve"> </w:t>
      </w:r>
      <w:proofErr w:type="spellStart"/>
      <w:r w:rsidRPr="00E24FBE">
        <w:rPr>
          <w:rFonts w:ascii="Times New Roman" w:hAnsi="Times New Roman" w:cs="Simplified Arabic"/>
          <w:b/>
          <w:bCs/>
          <w:color w:val="000000" w:themeColor="text1"/>
          <w:sz w:val="26"/>
          <w:szCs w:val="26"/>
        </w:rPr>
        <w:t>Ekonomican</w:t>
      </w:r>
      <w:proofErr w:type="spellEnd"/>
      <w:r w:rsidRPr="00E24FBE">
        <w:rPr>
          <w:rFonts w:ascii="Times New Roman" w:hAnsi="Times New Roman" w:cs="Simplified Arabic"/>
          <w:b/>
          <w:bCs/>
          <w:color w:val="000000" w:themeColor="text1"/>
          <w:sz w:val="26"/>
          <w:szCs w:val="26"/>
        </w:rPr>
        <w:t xml:space="preserve"> Revue and</w:t>
      </w:r>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Central European Review of Economic Issues 17</w:t>
      </w:r>
      <w:r w:rsidRPr="00E24FBE">
        <w:rPr>
          <w:rFonts w:ascii="Times New Roman" w:hAnsi="Times New Roman" w:cs="Simplified Arabic"/>
          <w:color w:val="000000" w:themeColor="text1"/>
          <w:sz w:val="26"/>
          <w:szCs w:val="26"/>
        </w:rPr>
        <w:t>, 17: 39-51.</w:t>
      </w:r>
    </w:p>
    <w:p w14:paraId="35AAE4C3" w14:textId="77777777" w:rsidR="004D722B" w:rsidRPr="004D722B" w:rsidRDefault="004D722B" w:rsidP="00C85ED3">
      <w:pPr>
        <w:pStyle w:val="FootnoteText"/>
        <w:numPr>
          <w:ilvl w:val="0"/>
          <w:numId w:val="23"/>
        </w:numPr>
        <w:bidi w:val="0"/>
        <w:spacing w:line="216" w:lineRule="auto"/>
        <w:ind w:left="459" w:hanging="459"/>
        <w:jc w:val="lowKashida"/>
        <w:rPr>
          <w:rFonts w:ascii="Times New Roman" w:hAnsi="Times New Roman" w:cs="Simplified Arabic"/>
          <w:color w:val="000000" w:themeColor="text1"/>
          <w:spacing w:val="-6"/>
          <w:sz w:val="26"/>
          <w:szCs w:val="26"/>
        </w:rPr>
      </w:pPr>
      <w:r w:rsidRPr="004D722B">
        <w:rPr>
          <w:rFonts w:ascii="Times New Roman" w:hAnsi="Times New Roman" w:cs="Simplified Arabic"/>
          <w:color w:val="000000" w:themeColor="text1"/>
          <w:spacing w:val="-6"/>
          <w:sz w:val="26"/>
          <w:szCs w:val="26"/>
        </w:rPr>
        <w:t xml:space="preserve">Jahmani, Y., Choi, H., Park, Y. and Wu. G. (2017), The Value Relevance of Other Comprehensive Income and Its Components. </w:t>
      </w:r>
      <w:r w:rsidRPr="004D722B">
        <w:rPr>
          <w:rFonts w:ascii="Times New Roman" w:hAnsi="Times New Roman" w:cs="Simplified Arabic"/>
          <w:b/>
          <w:bCs/>
          <w:color w:val="000000" w:themeColor="text1"/>
          <w:spacing w:val="-6"/>
          <w:sz w:val="26"/>
          <w:szCs w:val="26"/>
        </w:rPr>
        <w:t>Accounting and Taxation</w:t>
      </w:r>
      <w:r w:rsidRPr="004D722B">
        <w:rPr>
          <w:rFonts w:ascii="Times New Roman" w:hAnsi="Times New Roman" w:cs="Simplified Arabic"/>
          <w:color w:val="000000" w:themeColor="text1"/>
          <w:spacing w:val="-6"/>
          <w:sz w:val="26"/>
          <w:szCs w:val="26"/>
        </w:rPr>
        <w:t>, 9(1):  1-11.</w:t>
      </w:r>
    </w:p>
    <w:p w14:paraId="7816E3E7" w14:textId="77777777" w:rsidR="004D722B" w:rsidRPr="00E24FBE" w:rsidRDefault="004D722B" w:rsidP="00C85ED3">
      <w:pPr>
        <w:pStyle w:val="FootnoteText"/>
        <w:numPr>
          <w:ilvl w:val="0"/>
          <w:numId w:val="23"/>
        </w:numPr>
        <w:bidi w:val="0"/>
        <w:spacing w:line="216" w:lineRule="auto"/>
        <w:ind w:left="462" w:hanging="462"/>
        <w:jc w:val="lowKashida"/>
        <w:rPr>
          <w:rFonts w:ascii="Times New Roman" w:hAnsi="Times New Roman" w:cs="Simplified Arabic"/>
          <w:color w:val="000000" w:themeColor="text1"/>
          <w:sz w:val="26"/>
          <w:szCs w:val="26"/>
          <w:rtl/>
          <w:lang w:bidi="ar-EG"/>
        </w:rPr>
      </w:pPr>
      <w:r w:rsidRPr="00E24FBE">
        <w:rPr>
          <w:rFonts w:ascii="Times New Roman" w:hAnsi="Times New Roman" w:cs="Simplified Arabic"/>
          <w:color w:val="000000" w:themeColor="text1"/>
          <w:sz w:val="26"/>
          <w:szCs w:val="26"/>
        </w:rPr>
        <w:t xml:space="preserve">Jain, P., Vyas, v. and Roy, A. (2013), A study on weak form of market efficiency during the period of global financial crisis in the form of random walk on Indian capital market. </w:t>
      </w:r>
      <w:r w:rsidRPr="00E24FBE">
        <w:rPr>
          <w:rFonts w:ascii="Times New Roman" w:hAnsi="Times New Roman" w:cs="Simplified Arabic"/>
          <w:b/>
          <w:bCs/>
          <w:color w:val="000000" w:themeColor="text1"/>
          <w:sz w:val="26"/>
          <w:szCs w:val="26"/>
        </w:rPr>
        <w:t>Journal of Advances in Management Research</w:t>
      </w:r>
      <w:r w:rsidRPr="00E24FBE">
        <w:rPr>
          <w:rFonts w:ascii="Times New Roman" w:hAnsi="Times New Roman" w:cs="Simplified Arabic"/>
          <w:color w:val="000000" w:themeColor="text1"/>
          <w:sz w:val="26"/>
          <w:szCs w:val="26"/>
        </w:rPr>
        <w:t>, 10(1): 123-137.</w:t>
      </w:r>
    </w:p>
    <w:p w14:paraId="213217AC" w14:textId="77777777" w:rsidR="004D722B" w:rsidRPr="00E24FBE" w:rsidRDefault="004D722B" w:rsidP="00C85ED3">
      <w:pPr>
        <w:pStyle w:val="FootnoteText"/>
        <w:numPr>
          <w:ilvl w:val="0"/>
          <w:numId w:val="23"/>
        </w:numPr>
        <w:bidi w:val="0"/>
        <w:spacing w:line="216" w:lineRule="auto"/>
        <w:ind w:left="462" w:hanging="462"/>
        <w:jc w:val="lowKashida"/>
        <w:rPr>
          <w:rFonts w:ascii="Times New Roman" w:hAnsi="Times New Roman" w:cs="Simplified Arabic"/>
          <w:color w:val="000000" w:themeColor="text1"/>
          <w:sz w:val="26"/>
          <w:szCs w:val="26"/>
          <w:rtl/>
          <w:lang w:bidi="ar-EG"/>
        </w:rPr>
      </w:pPr>
      <w:proofErr w:type="spellStart"/>
      <w:r w:rsidRPr="00E24FBE">
        <w:rPr>
          <w:rFonts w:ascii="Times New Roman" w:hAnsi="Times New Roman" w:cs="Simplified Arabic"/>
          <w:color w:val="000000" w:themeColor="text1"/>
          <w:sz w:val="26"/>
          <w:szCs w:val="26"/>
        </w:rPr>
        <w:t>Jermsittiparsert</w:t>
      </w:r>
      <w:proofErr w:type="spellEnd"/>
      <w:r w:rsidRPr="00E24FBE">
        <w:rPr>
          <w:rFonts w:ascii="Times New Roman" w:hAnsi="Times New Roman" w:cs="Simplified Arabic"/>
          <w:color w:val="000000" w:themeColor="text1"/>
          <w:sz w:val="26"/>
          <w:szCs w:val="26"/>
        </w:rPr>
        <w:t xml:space="preserve">, K., </w:t>
      </w:r>
      <w:proofErr w:type="spellStart"/>
      <w:r w:rsidRPr="00E24FBE">
        <w:rPr>
          <w:rFonts w:ascii="Times New Roman" w:hAnsi="Times New Roman" w:cs="Simplified Arabic"/>
          <w:color w:val="000000" w:themeColor="text1"/>
          <w:sz w:val="26"/>
          <w:szCs w:val="26"/>
        </w:rPr>
        <w:t>Mihardjo</w:t>
      </w:r>
      <w:proofErr w:type="spellEnd"/>
      <w:r w:rsidRPr="00E24FBE">
        <w:rPr>
          <w:rFonts w:ascii="Times New Roman" w:hAnsi="Times New Roman" w:cs="Simplified Arabic"/>
          <w:color w:val="000000" w:themeColor="text1"/>
          <w:sz w:val="26"/>
          <w:szCs w:val="26"/>
        </w:rPr>
        <w:t xml:space="preserve">, L. and Ghani, E. (2019), Risk return through financial ratios as determinants of stock price: A Study from </w:t>
      </w:r>
      <w:proofErr w:type="spellStart"/>
      <w:r w:rsidRPr="00E24FBE">
        <w:rPr>
          <w:rFonts w:ascii="Times New Roman" w:hAnsi="Times New Roman" w:cs="Simplified Arabic"/>
          <w:color w:val="000000" w:themeColor="text1"/>
          <w:sz w:val="26"/>
          <w:szCs w:val="26"/>
        </w:rPr>
        <w:t>Asean</w:t>
      </w:r>
      <w:proofErr w:type="spellEnd"/>
      <w:r w:rsidRPr="00E24FBE">
        <w:rPr>
          <w:rFonts w:ascii="Times New Roman" w:hAnsi="Times New Roman" w:cs="Simplified Arabic"/>
          <w:color w:val="000000" w:themeColor="text1"/>
          <w:sz w:val="26"/>
          <w:szCs w:val="26"/>
        </w:rPr>
        <w:t xml:space="preserve"> Region. </w:t>
      </w:r>
      <w:r w:rsidRPr="00E24FBE">
        <w:rPr>
          <w:rFonts w:ascii="Times New Roman" w:hAnsi="Times New Roman" w:cs="Simplified Arabic"/>
          <w:b/>
          <w:bCs/>
          <w:color w:val="000000" w:themeColor="text1"/>
          <w:sz w:val="26"/>
          <w:szCs w:val="26"/>
        </w:rPr>
        <w:t>Journal of Security and Sustainability Issues,</w:t>
      </w:r>
      <w:r w:rsidRPr="00E24FBE">
        <w:rPr>
          <w:rFonts w:ascii="Times New Roman" w:hAnsi="Times New Roman" w:cs="Simplified Arabic"/>
          <w:color w:val="000000" w:themeColor="text1"/>
          <w:sz w:val="26"/>
          <w:szCs w:val="26"/>
        </w:rPr>
        <w:t xml:space="preserve"> 19(1): 200-210.</w:t>
      </w:r>
    </w:p>
    <w:p w14:paraId="19C2D39D" w14:textId="77777777" w:rsidR="004D722B" w:rsidRPr="00E24FBE" w:rsidRDefault="004D722B" w:rsidP="00C85ED3">
      <w:pPr>
        <w:pStyle w:val="FootnoteText"/>
        <w:numPr>
          <w:ilvl w:val="0"/>
          <w:numId w:val="23"/>
        </w:numPr>
        <w:bidi w:val="0"/>
        <w:spacing w:line="216" w:lineRule="auto"/>
        <w:ind w:left="462" w:hanging="462"/>
        <w:jc w:val="lowKashida"/>
        <w:rPr>
          <w:rFonts w:ascii="Times New Roman" w:hAnsi="Times New Roman" w:cs="Simplified Arabic"/>
          <w:color w:val="000000" w:themeColor="text1"/>
          <w:sz w:val="26"/>
          <w:szCs w:val="26"/>
        </w:rPr>
      </w:pPr>
      <w:r w:rsidRPr="00E24FBE">
        <w:rPr>
          <w:rFonts w:ascii="Times New Roman" w:hAnsi="Times New Roman" w:cs="Simplified Arabic"/>
          <w:color w:val="000000" w:themeColor="text1"/>
          <w:sz w:val="26"/>
          <w:szCs w:val="26"/>
        </w:rPr>
        <w:t xml:space="preserve">Kadri, M., Wardi, J., Abu Bakar, Z. and Zakaria, N. (2021), Value relevance of property plant and asset revaluation reserve: upholding financial report reliability and evading </w:t>
      </w:r>
      <w:proofErr w:type="spellStart"/>
      <w:r w:rsidRPr="00E24FBE">
        <w:rPr>
          <w:rFonts w:ascii="Times New Roman" w:hAnsi="Times New Roman" w:cs="Simplified Arabic"/>
          <w:color w:val="000000" w:themeColor="text1"/>
          <w:sz w:val="26"/>
          <w:szCs w:val="26"/>
        </w:rPr>
        <w:t>misjudgement</w:t>
      </w:r>
      <w:proofErr w:type="spellEnd"/>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Journal of Management Information and Decision Sciences</w:t>
      </w:r>
      <w:r w:rsidRPr="00E24FBE">
        <w:rPr>
          <w:rFonts w:ascii="Times New Roman" w:hAnsi="Times New Roman" w:cs="Simplified Arabic"/>
          <w:color w:val="000000" w:themeColor="text1"/>
          <w:sz w:val="26"/>
          <w:szCs w:val="26"/>
        </w:rPr>
        <w:t>, 24(1): 1-10.</w:t>
      </w:r>
    </w:p>
    <w:p w14:paraId="623CF55D" w14:textId="77777777" w:rsidR="004D722B" w:rsidRPr="00E24FBE" w:rsidRDefault="004D722B" w:rsidP="002209B2">
      <w:pPr>
        <w:pStyle w:val="FootnoteText"/>
        <w:numPr>
          <w:ilvl w:val="0"/>
          <w:numId w:val="23"/>
        </w:numPr>
        <w:bidi w:val="0"/>
        <w:ind w:left="462" w:hanging="462"/>
        <w:jc w:val="lowKashida"/>
        <w:rPr>
          <w:rFonts w:ascii="Times New Roman" w:hAnsi="Times New Roman" w:cs="Simplified Arabic"/>
          <w:color w:val="000000" w:themeColor="text1"/>
          <w:sz w:val="26"/>
          <w:szCs w:val="26"/>
        </w:rPr>
      </w:pPr>
      <w:r w:rsidRPr="00E24FBE">
        <w:rPr>
          <w:rFonts w:ascii="Times New Roman" w:hAnsi="Times New Roman" w:cs="Simplified Arabic"/>
          <w:color w:val="000000" w:themeColor="text1"/>
          <w:sz w:val="26"/>
          <w:szCs w:val="26"/>
        </w:rPr>
        <w:t xml:space="preserve">Khan, S., Bradbury, M. And Courtenay, S. (2018), value relevance of comprehensive income. </w:t>
      </w:r>
      <w:r w:rsidRPr="00E24FBE">
        <w:rPr>
          <w:rFonts w:ascii="Times New Roman" w:hAnsi="Times New Roman" w:cs="Simplified Arabic"/>
          <w:b/>
          <w:bCs/>
          <w:color w:val="000000" w:themeColor="text1"/>
          <w:sz w:val="26"/>
          <w:szCs w:val="26"/>
        </w:rPr>
        <w:t>Australian Accounting Review</w:t>
      </w:r>
      <w:r w:rsidRPr="00E24FBE">
        <w:rPr>
          <w:rFonts w:ascii="Times New Roman" w:hAnsi="Times New Roman" w:cs="Simplified Arabic"/>
          <w:color w:val="000000" w:themeColor="text1"/>
          <w:sz w:val="26"/>
          <w:szCs w:val="26"/>
        </w:rPr>
        <w:t xml:space="preserve">, 28(85): 279-287. </w:t>
      </w:r>
    </w:p>
    <w:p w14:paraId="579DEDFD" w14:textId="77777777" w:rsidR="004D722B" w:rsidRPr="00E24FBE" w:rsidRDefault="004D722B" w:rsidP="002209B2">
      <w:pPr>
        <w:pStyle w:val="FootnoteText"/>
        <w:numPr>
          <w:ilvl w:val="0"/>
          <w:numId w:val="23"/>
        </w:numPr>
        <w:bidi w:val="0"/>
        <w:ind w:left="462" w:hanging="462"/>
        <w:jc w:val="lowKashida"/>
        <w:rPr>
          <w:rFonts w:ascii="Times New Roman" w:hAnsi="Times New Roman" w:cs="Simplified Arabic"/>
          <w:color w:val="000000" w:themeColor="text1"/>
          <w:sz w:val="26"/>
          <w:szCs w:val="26"/>
        </w:rPr>
      </w:pPr>
      <w:r w:rsidRPr="00E24FBE">
        <w:rPr>
          <w:rFonts w:ascii="Times New Roman" w:hAnsi="Times New Roman" w:cs="Simplified Arabic"/>
          <w:color w:val="000000" w:themeColor="text1"/>
          <w:sz w:val="26"/>
          <w:szCs w:val="26"/>
        </w:rPr>
        <w:t xml:space="preserve">Kusuma, M. (2021), Measurement of return on asset (ROA) based on comprehensive income and its ability to predict investment returns: </w:t>
      </w:r>
      <w:proofErr w:type="gramStart"/>
      <w:r w:rsidRPr="00E24FBE">
        <w:rPr>
          <w:rFonts w:ascii="Times New Roman" w:hAnsi="Times New Roman" w:cs="Simplified Arabic"/>
          <w:color w:val="000000" w:themeColor="text1"/>
          <w:sz w:val="26"/>
          <w:szCs w:val="26"/>
        </w:rPr>
        <w:t>an empirical evidence</w:t>
      </w:r>
      <w:proofErr w:type="gramEnd"/>
      <w:r w:rsidRPr="00E24FBE">
        <w:rPr>
          <w:rFonts w:ascii="Times New Roman" w:hAnsi="Times New Roman" w:cs="Simplified Arabic"/>
          <w:color w:val="000000" w:themeColor="text1"/>
          <w:sz w:val="26"/>
          <w:szCs w:val="26"/>
        </w:rPr>
        <w:t xml:space="preserve"> on go public companies in Indonesia before and during the COVID-19 pandemic. </w:t>
      </w:r>
      <w:r w:rsidRPr="00E24FBE">
        <w:rPr>
          <w:rFonts w:ascii="Times New Roman" w:hAnsi="Times New Roman" w:cs="Simplified Arabic"/>
          <w:b/>
          <w:bCs/>
          <w:color w:val="000000" w:themeColor="text1"/>
          <w:sz w:val="26"/>
          <w:szCs w:val="26"/>
        </w:rPr>
        <w:t xml:space="preserve">Journal </w:t>
      </w:r>
      <w:proofErr w:type="spellStart"/>
      <w:r w:rsidRPr="00E24FBE">
        <w:rPr>
          <w:rFonts w:ascii="Times New Roman" w:hAnsi="Times New Roman" w:cs="Simplified Arabic"/>
          <w:b/>
          <w:bCs/>
          <w:color w:val="000000" w:themeColor="text1"/>
          <w:sz w:val="26"/>
          <w:szCs w:val="26"/>
        </w:rPr>
        <w:t>Itmiah</w:t>
      </w:r>
      <w:proofErr w:type="spellEnd"/>
      <w:r w:rsidRPr="00E24FBE">
        <w:rPr>
          <w:rFonts w:ascii="Times New Roman" w:hAnsi="Times New Roman" w:cs="Simplified Arabic"/>
          <w:b/>
          <w:bCs/>
          <w:color w:val="000000" w:themeColor="text1"/>
          <w:sz w:val="26"/>
          <w:szCs w:val="26"/>
        </w:rPr>
        <w:t xml:space="preserve"> </w:t>
      </w:r>
      <w:proofErr w:type="spellStart"/>
      <w:r w:rsidRPr="00E24FBE">
        <w:rPr>
          <w:rFonts w:ascii="Times New Roman" w:hAnsi="Times New Roman" w:cs="Simplified Arabic"/>
          <w:b/>
          <w:bCs/>
          <w:color w:val="000000" w:themeColor="text1"/>
          <w:sz w:val="26"/>
          <w:szCs w:val="26"/>
        </w:rPr>
        <w:t>Bidang</w:t>
      </w:r>
      <w:proofErr w:type="spellEnd"/>
      <w:r w:rsidRPr="00E24FBE">
        <w:rPr>
          <w:rFonts w:ascii="Times New Roman" w:hAnsi="Times New Roman" w:cs="Simplified Arabic"/>
          <w:b/>
          <w:bCs/>
          <w:color w:val="000000" w:themeColor="text1"/>
          <w:sz w:val="26"/>
          <w:szCs w:val="26"/>
        </w:rPr>
        <w:t xml:space="preserve"> </w:t>
      </w:r>
      <w:proofErr w:type="spellStart"/>
      <w:r w:rsidRPr="00E24FBE">
        <w:rPr>
          <w:rFonts w:ascii="Times New Roman" w:hAnsi="Times New Roman" w:cs="Simplified Arabic"/>
          <w:b/>
          <w:bCs/>
          <w:color w:val="000000" w:themeColor="text1"/>
          <w:sz w:val="26"/>
          <w:szCs w:val="26"/>
        </w:rPr>
        <w:t>Ilmuekonom</w:t>
      </w:r>
      <w:proofErr w:type="spellEnd"/>
      <w:r w:rsidRPr="00E24FBE">
        <w:rPr>
          <w:rFonts w:ascii="Times New Roman" w:hAnsi="Times New Roman" w:cs="Simplified Arabic"/>
          <w:color w:val="000000" w:themeColor="text1"/>
          <w:sz w:val="26"/>
          <w:szCs w:val="26"/>
        </w:rPr>
        <w:t>, 16(1): 94-106.</w:t>
      </w:r>
    </w:p>
    <w:p w14:paraId="60BFF0C1" w14:textId="77777777" w:rsidR="004D722B" w:rsidRPr="00E24FBE" w:rsidRDefault="004D722B" w:rsidP="002209B2">
      <w:pPr>
        <w:pStyle w:val="FootnoteText"/>
        <w:numPr>
          <w:ilvl w:val="0"/>
          <w:numId w:val="23"/>
        </w:numPr>
        <w:bidi w:val="0"/>
        <w:ind w:left="462" w:hanging="462"/>
        <w:jc w:val="lowKashida"/>
        <w:rPr>
          <w:rFonts w:ascii="Times New Roman" w:hAnsi="Times New Roman" w:cs="Simplified Arabic"/>
          <w:color w:val="000000" w:themeColor="text1"/>
          <w:sz w:val="26"/>
          <w:szCs w:val="26"/>
        </w:rPr>
      </w:pPr>
      <w:bookmarkStart w:id="13" w:name="_Hlk149076866"/>
      <w:r w:rsidRPr="00E24FBE">
        <w:rPr>
          <w:rFonts w:ascii="Times New Roman" w:hAnsi="Times New Roman" w:cs="Simplified Arabic"/>
          <w:color w:val="000000" w:themeColor="text1"/>
          <w:sz w:val="26"/>
          <w:szCs w:val="26"/>
        </w:rPr>
        <w:lastRenderedPageBreak/>
        <w:t>Lin, W. and</w:t>
      </w:r>
      <w:r w:rsidRPr="00E24FBE">
        <w:rPr>
          <w:rFonts w:ascii="Times New Roman" w:hAnsi="Times New Roman" w:cs="Simplified Arabic" w:hint="cs"/>
          <w:color w:val="000000" w:themeColor="text1"/>
          <w:sz w:val="26"/>
          <w:szCs w:val="26"/>
          <w:rtl/>
        </w:rPr>
        <w:t xml:space="preserve"> </w:t>
      </w:r>
      <w:r w:rsidRPr="00E24FBE">
        <w:rPr>
          <w:rFonts w:ascii="Times New Roman" w:hAnsi="Times New Roman" w:cs="Simplified Arabic"/>
          <w:color w:val="000000" w:themeColor="text1"/>
          <w:sz w:val="26"/>
          <w:szCs w:val="26"/>
        </w:rPr>
        <w:t xml:space="preserve">Rong, M. (2012), Impacts of other comprehensive disclosure on earning management. </w:t>
      </w:r>
      <w:r w:rsidRPr="00E24FBE">
        <w:rPr>
          <w:rFonts w:ascii="Times New Roman" w:hAnsi="Times New Roman" w:cs="Simplified Arabic"/>
          <w:b/>
          <w:bCs/>
          <w:color w:val="000000" w:themeColor="text1"/>
          <w:sz w:val="26"/>
          <w:szCs w:val="26"/>
        </w:rPr>
        <w:t>Nankai Review International,</w:t>
      </w:r>
      <w:r w:rsidRPr="00E24FBE">
        <w:rPr>
          <w:rFonts w:ascii="Times New Roman" w:hAnsi="Times New Roman" w:cs="Simplified Arabic"/>
          <w:color w:val="000000" w:themeColor="text1"/>
          <w:sz w:val="26"/>
          <w:szCs w:val="26"/>
        </w:rPr>
        <w:t xml:space="preserve"> 3(1): 93-101</w:t>
      </w:r>
      <w:bookmarkEnd w:id="13"/>
    </w:p>
    <w:p w14:paraId="3E8400E4" w14:textId="77777777" w:rsidR="004D722B" w:rsidRPr="00E24FBE" w:rsidRDefault="004D722B" w:rsidP="002209B2">
      <w:pPr>
        <w:pStyle w:val="FootnoteText"/>
        <w:numPr>
          <w:ilvl w:val="0"/>
          <w:numId w:val="23"/>
        </w:numPr>
        <w:bidi w:val="0"/>
        <w:ind w:left="462" w:hanging="462"/>
        <w:jc w:val="lowKashida"/>
        <w:rPr>
          <w:rFonts w:ascii="Times New Roman" w:hAnsi="Times New Roman" w:cs="Simplified Arabic"/>
          <w:color w:val="000000" w:themeColor="text1"/>
          <w:sz w:val="26"/>
          <w:szCs w:val="26"/>
        </w:rPr>
      </w:pPr>
      <w:r w:rsidRPr="00E24FBE">
        <w:rPr>
          <w:rFonts w:ascii="Times New Roman" w:hAnsi="Times New Roman" w:cs="Simplified Arabic"/>
          <w:color w:val="000000" w:themeColor="text1"/>
          <w:sz w:val="26"/>
          <w:szCs w:val="26"/>
        </w:rPr>
        <w:t xml:space="preserve">Marchini, P. and </w:t>
      </w:r>
      <w:proofErr w:type="spellStart"/>
      <w:r w:rsidRPr="00E24FBE">
        <w:rPr>
          <w:rFonts w:ascii="Times New Roman" w:hAnsi="Times New Roman" w:cs="Simplified Arabic"/>
          <w:color w:val="000000" w:themeColor="text1"/>
          <w:sz w:val="26"/>
          <w:szCs w:val="26"/>
        </w:rPr>
        <w:t>D'Este</w:t>
      </w:r>
      <w:proofErr w:type="spellEnd"/>
      <w:r w:rsidRPr="00E24FBE">
        <w:rPr>
          <w:rFonts w:ascii="Times New Roman" w:hAnsi="Times New Roman" w:cs="Simplified Arabic"/>
          <w:color w:val="000000" w:themeColor="text1"/>
          <w:sz w:val="26"/>
          <w:szCs w:val="26"/>
        </w:rPr>
        <w:t xml:space="preserve">, C. (2015), comprehensive income and financial performance ratios: which potential effects on ROE and on firm's performance </w:t>
      </w:r>
      <w:proofErr w:type="gramStart"/>
      <w:r w:rsidRPr="00E24FBE">
        <w:rPr>
          <w:rFonts w:ascii="Times New Roman" w:hAnsi="Times New Roman" w:cs="Simplified Arabic"/>
          <w:color w:val="000000" w:themeColor="text1"/>
          <w:sz w:val="26"/>
          <w:szCs w:val="26"/>
        </w:rPr>
        <w:t>evaluation?,</w:t>
      </w:r>
      <w:proofErr w:type="gramEnd"/>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Procedia Economics and Financial,</w:t>
      </w:r>
      <w:r w:rsidRPr="00E24FBE">
        <w:rPr>
          <w:rFonts w:ascii="Times New Roman" w:hAnsi="Times New Roman" w:cs="Simplified Arabic"/>
          <w:color w:val="000000" w:themeColor="text1"/>
          <w:sz w:val="26"/>
          <w:szCs w:val="26"/>
        </w:rPr>
        <w:t xml:space="preserve"> 32: 1724-1739.</w:t>
      </w:r>
    </w:p>
    <w:p w14:paraId="6923106E" w14:textId="77777777" w:rsidR="004D722B" w:rsidRPr="00E24FBE" w:rsidRDefault="004D722B" w:rsidP="002209B2">
      <w:pPr>
        <w:pStyle w:val="FootnoteText"/>
        <w:numPr>
          <w:ilvl w:val="0"/>
          <w:numId w:val="23"/>
        </w:numPr>
        <w:bidi w:val="0"/>
        <w:ind w:left="459" w:hanging="459"/>
        <w:jc w:val="lowKashida"/>
        <w:rPr>
          <w:rFonts w:ascii="Times New Roman" w:hAnsi="Times New Roman" w:cs="Simplified Arabic"/>
          <w:color w:val="000000" w:themeColor="text1"/>
          <w:sz w:val="26"/>
          <w:szCs w:val="26"/>
          <w:rtl/>
        </w:rPr>
      </w:pPr>
      <w:r w:rsidRPr="00E24FBE">
        <w:rPr>
          <w:rFonts w:ascii="Times New Roman" w:hAnsi="Times New Roman" w:cs="Simplified Arabic"/>
          <w:color w:val="000000" w:themeColor="text1"/>
          <w:sz w:val="26"/>
          <w:szCs w:val="26"/>
        </w:rPr>
        <w:t xml:space="preserve">Mihaela, R., Costin, B. and Andreia, M. (2022), Value relevance of other comprehensive income and fair value measurement. </w:t>
      </w:r>
      <w:r w:rsidRPr="00E24FBE">
        <w:rPr>
          <w:rFonts w:ascii="Times New Roman" w:hAnsi="Times New Roman" w:cs="Simplified Arabic"/>
          <w:b/>
          <w:bCs/>
          <w:color w:val="000000" w:themeColor="text1"/>
          <w:sz w:val="26"/>
          <w:szCs w:val="26"/>
        </w:rPr>
        <w:t>Annals- Economy Series</w:t>
      </w:r>
      <w:r w:rsidRPr="00E24FBE">
        <w:rPr>
          <w:rFonts w:ascii="Times New Roman" w:hAnsi="Times New Roman" w:cs="Simplified Arabic"/>
          <w:color w:val="000000" w:themeColor="text1"/>
          <w:sz w:val="26"/>
          <w:szCs w:val="26"/>
        </w:rPr>
        <w:t>, Constantin Brancusi University, Faculty of Economics, 4: 293-297.</w:t>
      </w:r>
    </w:p>
    <w:p w14:paraId="013A317E" w14:textId="77777777" w:rsidR="004D722B" w:rsidRPr="00E24FBE" w:rsidRDefault="004D722B" w:rsidP="002209B2">
      <w:pPr>
        <w:pStyle w:val="FootnoteText"/>
        <w:numPr>
          <w:ilvl w:val="0"/>
          <w:numId w:val="23"/>
        </w:numPr>
        <w:bidi w:val="0"/>
        <w:ind w:left="459" w:hanging="459"/>
        <w:jc w:val="lowKashida"/>
        <w:rPr>
          <w:rFonts w:ascii="Times New Roman" w:hAnsi="Times New Roman" w:cs="Simplified Arabic"/>
          <w:color w:val="000000" w:themeColor="text1"/>
          <w:sz w:val="26"/>
          <w:szCs w:val="26"/>
        </w:rPr>
      </w:pPr>
      <w:r w:rsidRPr="00E24FBE">
        <w:rPr>
          <w:rFonts w:ascii="Times New Roman" w:hAnsi="Times New Roman" w:cs="Simplified Arabic"/>
          <w:color w:val="000000" w:themeColor="text1"/>
          <w:sz w:val="26"/>
          <w:szCs w:val="26"/>
        </w:rPr>
        <w:t xml:space="preserve">Neupane, B. (2020), impact of earning, book value and dividend on market price of stock of </w:t>
      </w:r>
      <w:proofErr w:type="spellStart"/>
      <w:r w:rsidRPr="00E24FBE">
        <w:rPr>
          <w:rFonts w:ascii="Times New Roman" w:hAnsi="Times New Roman" w:cs="Simplified Arabic"/>
          <w:color w:val="000000" w:themeColor="text1"/>
          <w:sz w:val="26"/>
          <w:szCs w:val="26"/>
        </w:rPr>
        <w:t>nepalese</w:t>
      </w:r>
      <w:proofErr w:type="spellEnd"/>
      <w:r w:rsidRPr="00E24FBE">
        <w:rPr>
          <w:rFonts w:ascii="Times New Roman" w:hAnsi="Times New Roman" w:cs="Simplified Arabic"/>
          <w:color w:val="000000" w:themeColor="text1"/>
          <w:sz w:val="26"/>
          <w:szCs w:val="26"/>
        </w:rPr>
        <w:t xml:space="preserve"> manufacturing firms listed in </w:t>
      </w:r>
      <w:proofErr w:type="spellStart"/>
      <w:r w:rsidRPr="00E24FBE">
        <w:rPr>
          <w:rFonts w:ascii="Times New Roman" w:hAnsi="Times New Roman" w:cs="Simplified Arabic"/>
          <w:color w:val="000000" w:themeColor="text1"/>
          <w:sz w:val="26"/>
          <w:szCs w:val="26"/>
        </w:rPr>
        <w:t>Nepse</w:t>
      </w:r>
      <w:proofErr w:type="spellEnd"/>
      <w:r w:rsidRPr="00E24FBE">
        <w:rPr>
          <w:rFonts w:ascii="Times New Roman" w:hAnsi="Times New Roman" w:cs="Simplified Arabic"/>
          <w:color w:val="000000" w:themeColor="text1"/>
          <w:sz w:val="26"/>
          <w:szCs w:val="26"/>
        </w:rPr>
        <w:t xml:space="preserve">, Nepal commerce campus, (1): 21-30. </w:t>
      </w:r>
    </w:p>
    <w:p w14:paraId="308966F9" w14:textId="77777777" w:rsidR="004D722B" w:rsidRPr="00E24FBE" w:rsidRDefault="004D722B" w:rsidP="002209B2">
      <w:pPr>
        <w:pStyle w:val="FootnoteText"/>
        <w:numPr>
          <w:ilvl w:val="0"/>
          <w:numId w:val="23"/>
        </w:numPr>
        <w:bidi w:val="0"/>
        <w:ind w:left="459" w:hanging="459"/>
        <w:jc w:val="lowKashida"/>
        <w:rPr>
          <w:rFonts w:ascii="Times New Roman" w:hAnsi="Times New Roman" w:cs="Simplified Arabic"/>
          <w:color w:val="000000" w:themeColor="text1"/>
          <w:sz w:val="26"/>
          <w:szCs w:val="26"/>
        </w:rPr>
      </w:pPr>
      <w:r w:rsidRPr="00E24FBE">
        <w:rPr>
          <w:rFonts w:ascii="Times New Roman" w:hAnsi="Times New Roman" w:cs="Simplified Arabic"/>
          <w:color w:val="000000" w:themeColor="text1"/>
          <w:sz w:val="26"/>
          <w:szCs w:val="26"/>
        </w:rPr>
        <w:t xml:space="preserve">Park, H. (2018), Market Reaction to Other Comprehensive Income. </w:t>
      </w:r>
      <w:r w:rsidRPr="00E24FBE">
        <w:rPr>
          <w:rFonts w:ascii="Times New Roman" w:hAnsi="Times New Roman" w:cs="Simplified Arabic"/>
          <w:b/>
          <w:bCs/>
          <w:color w:val="000000" w:themeColor="text1"/>
          <w:sz w:val="26"/>
          <w:szCs w:val="26"/>
        </w:rPr>
        <w:t>Sustainability</w:t>
      </w:r>
      <w:r w:rsidRPr="00E24FBE">
        <w:rPr>
          <w:rFonts w:ascii="Times New Roman" w:hAnsi="Times New Roman" w:cs="Simplified Arabic"/>
          <w:color w:val="000000" w:themeColor="text1"/>
          <w:sz w:val="26"/>
          <w:szCs w:val="26"/>
        </w:rPr>
        <w:t>,</w:t>
      </w:r>
      <w:r w:rsidRPr="00E24FBE">
        <w:rPr>
          <w:rFonts w:ascii="Times New Roman" w:hAnsi="Times New Roman" w:cs="Simplified Arabic"/>
          <w:b/>
          <w:bCs/>
          <w:color w:val="000000" w:themeColor="text1"/>
          <w:sz w:val="26"/>
          <w:szCs w:val="26"/>
        </w:rPr>
        <w:t xml:space="preserve"> </w:t>
      </w:r>
      <w:r w:rsidRPr="00E24FBE">
        <w:rPr>
          <w:rFonts w:ascii="Times New Roman" w:hAnsi="Times New Roman" w:cs="Simplified Arabic"/>
          <w:color w:val="000000" w:themeColor="text1"/>
          <w:sz w:val="26"/>
          <w:szCs w:val="26"/>
        </w:rPr>
        <w:t>10(6): 1-14.</w:t>
      </w:r>
    </w:p>
    <w:p w14:paraId="22401AC7" w14:textId="77777777" w:rsidR="004D722B" w:rsidRPr="00E24FBE" w:rsidRDefault="004D722B" w:rsidP="002209B2">
      <w:pPr>
        <w:pStyle w:val="FootnoteText"/>
        <w:numPr>
          <w:ilvl w:val="0"/>
          <w:numId w:val="23"/>
        </w:numPr>
        <w:bidi w:val="0"/>
        <w:ind w:left="459" w:hanging="459"/>
        <w:jc w:val="lowKashida"/>
        <w:rPr>
          <w:rFonts w:ascii="Times New Roman" w:hAnsi="Times New Roman" w:cs="Simplified Arabic"/>
          <w:color w:val="000000" w:themeColor="text1"/>
          <w:sz w:val="26"/>
          <w:szCs w:val="26"/>
          <w:rtl/>
          <w:lang w:bidi="ar-EG"/>
        </w:rPr>
      </w:pPr>
      <w:r w:rsidRPr="00E24FBE">
        <w:rPr>
          <w:rFonts w:ascii="Times New Roman" w:hAnsi="Times New Roman" w:cs="Simplified Arabic"/>
          <w:color w:val="000000" w:themeColor="text1"/>
          <w:sz w:val="26"/>
          <w:szCs w:val="26"/>
        </w:rPr>
        <w:t>Rahman, M. and Liu, R. (2021</w:t>
      </w:r>
      <w:proofErr w:type="gramStart"/>
      <w:r w:rsidRPr="00E24FBE">
        <w:rPr>
          <w:rFonts w:ascii="Times New Roman" w:hAnsi="Times New Roman" w:cs="Simplified Arabic"/>
          <w:color w:val="000000" w:themeColor="text1"/>
          <w:sz w:val="26"/>
          <w:szCs w:val="26"/>
        </w:rPr>
        <w:t>),Value</w:t>
      </w:r>
      <w:proofErr w:type="gramEnd"/>
      <w:r w:rsidRPr="00E24FBE">
        <w:rPr>
          <w:rFonts w:ascii="Times New Roman" w:hAnsi="Times New Roman" w:cs="Simplified Arabic"/>
          <w:color w:val="000000" w:themeColor="text1"/>
          <w:sz w:val="26"/>
          <w:szCs w:val="26"/>
        </w:rPr>
        <w:t xml:space="preserve"> relevance of accounting information and stock price reaction: Empirical evidence from China. </w:t>
      </w:r>
      <w:r w:rsidRPr="00E24FBE">
        <w:rPr>
          <w:rFonts w:ascii="Times New Roman" w:hAnsi="Times New Roman" w:cs="Simplified Arabic"/>
          <w:b/>
          <w:bCs/>
          <w:color w:val="000000" w:themeColor="text1"/>
          <w:sz w:val="26"/>
          <w:szCs w:val="26"/>
        </w:rPr>
        <w:t>Accounting and Management</w:t>
      </w:r>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Information Systems</w:t>
      </w:r>
      <w:r w:rsidRPr="00E24FBE">
        <w:rPr>
          <w:rFonts w:ascii="Times New Roman" w:hAnsi="Times New Roman" w:cs="Simplified Arabic"/>
          <w:color w:val="000000" w:themeColor="text1"/>
          <w:sz w:val="26"/>
          <w:szCs w:val="26"/>
        </w:rPr>
        <w:t>, 20(1): 5-27.</w:t>
      </w:r>
    </w:p>
    <w:p w14:paraId="10500BBE" w14:textId="77777777" w:rsidR="004D722B" w:rsidRPr="00E24FBE" w:rsidRDefault="004D722B" w:rsidP="002209B2">
      <w:pPr>
        <w:pStyle w:val="FootnoteText"/>
        <w:numPr>
          <w:ilvl w:val="0"/>
          <w:numId w:val="23"/>
        </w:numPr>
        <w:bidi w:val="0"/>
        <w:ind w:left="459" w:hanging="459"/>
        <w:jc w:val="lowKashida"/>
        <w:rPr>
          <w:rFonts w:ascii="Times New Roman" w:hAnsi="Times New Roman" w:cs="Simplified Arabic"/>
          <w:color w:val="000000" w:themeColor="text1"/>
          <w:sz w:val="26"/>
          <w:szCs w:val="26"/>
          <w:rtl/>
          <w:lang w:bidi="ar-EG"/>
        </w:rPr>
      </w:pPr>
      <w:r w:rsidRPr="00E24FBE">
        <w:rPr>
          <w:rFonts w:ascii="Times New Roman" w:hAnsi="Times New Roman" w:cs="Simplified Arabic"/>
          <w:color w:val="000000" w:themeColor="text1"/>
          <w:sz w:val="26"/>
          <w:szCs w:val="26"/>
        </w:rPr>
        <w:t xml:space="preserve">Ramadhani, J. and Martini, D. (2019), Analysis impact of PASK 24 revision on equity, other comprehensive income, and stock returns. </w:t>
      </w:r>
      <w:r w:rsidRPr="00E24FBE">
        <w:rPr>
          <w:rFonts w:ascii="Times New Roman" w:hAnsi="Times New Roman" w:cs="Simplified Arabic"/>
          <w:b/>
          <w:bCs/>
          <w:color w:val="000000" w:themeColor="text1"/>
          <w:sz w:val="26"/>
          <w:szCs w:val="26"/>
        </w:rPr>
        <w:t>Advances in Economics, Business</w:t>
      </w:r>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and Management Research</w:t>
      </w:r>
      <w:r w:rsidRPr="00E24FBE">
        <w:rPr>
          <w:rFonts w:ascii="Times New Roman" w:hAnsi="Times New Roman" w:cs="Simplified Arabic"/>
          <w:color w:val="000000" w:themeColor="text1"/>
          <w:sz w:val="26"/>
          <w:szCs w:val="26"/>
        </w:rPr>
        <w:t>, 89: 414-419.</w:t>
      </w:r>
    </w:p>
    <w:p w14:paraId="69DF1FC5" w14:textId="77777777" w:rsidR="004D722B" w:rsidRPr="00E24FBE" w:rsidRDefault="004D722B" w:rsidP="002209B2">
      <w:pPr>
        <w:pStyle w:val="FootnoteText"/>
        <w:numPr>
          <w:ilvl w:val="0"/>
          <w:numId w:val="23"/>
        </w:numPr>
        <w:bidi w:val="0"/>
        <w:ind w:left="462" w:hanging="462"/>
        <w:jc w:val="lowKashida"/>
        <w:rPr>
          <w:rFonts w:ascii="Times New Roman" w:hAnsi="Times New Roman" w:cs="Simplified Arabic"/>
          <w:color w:val="000000" w:themeColor="text1"/>
          <w:sz w:val="26"/>
          <w:szCs w:val="26"/>
        </w:rPr>
      </w:pPr>
      <w:proofErr w:type="spellStart"/>
      <w:r w:rsidRPr="00E24FBE">
        <w:rPr>
          <w:rFonts w:ascii="Times New Roman" w:hAnsi="Times New Roman" w:cs="Simplified Arabic"/>
          <w:color w:val="000000" w:themeColor="text1"/>
          <w:sz w:val="26"/>
          <w:szCs w:val="26"/>
        </w:rPr>
        <w:t>Rusdiyanto</w:t>
      </w:r>
      <w:proofErr w:type="spellEnd"/>
      <w:r w:rsidRPr="00E24FBE">
        <w:rPr>
          <w:rFonts w:ascii="Times New Roman" w:hAnsi="Times New Roman" w:cs="Simplified Arabic"/>
          <w:color w:val="000000" w:themeColor="text1"/>
          <w:sz w:val="26"/>
          <w:szCs w:val="26"/>
        </w:rPr>
        <w:t xml:space="preserve">, I. and Narsa, M. (2019), The Effects of Earnings Volatility Net Income and Comprehensive Income on Stock Prices on Banking Companies on the Indonesia Stock Exchange. </w:t>
      </w:r>
      <w:r w:rsidRPr="00E24FBE">
        <w:rPr>
          <w:rFonts w:ascii="Times New Roman" w:hAnsi="Times New Roman" w:cs="Simplified Arabic"/>
          <w:b/>
          <w:bCs/>
          <w:color w:val="000000" w:themeColor="text1"/>
          <w:sz w:val="26"/>
          <w:szCs w:val="26"/>
        </w:rPr>
        <w:t>International Review of Management and Marketing</w:t>
      </w:r>
      <w:r w:rsidRPr="00E24FBE">
        <w:rPr>
          <w:rFonts w:ascii="Times New Roman" w:hAnsi="Times New Roman" w:cs="Simplified Arabic"/>
          <w:color w:val="000000" w:themeColor="text1"/>
          <w:sz w:val="26"/>
          <w:szCs w:val="26"/>
        </w:rPr>
        <w:t>, 9(6): 18-24.</w:t>
      </w:r>
    </w:p>
    <w:p w14:paraId="2FD2C36A" w14:textId="77777777" w:rsidR="004D722B" w:rsidRPr="00E24FBE" w:rsidRDefault="004D722B" w:rsidP="002209B2">
      <w:pPr>
        <w:pStyle w:val="FootnoteText"/>
        <w:numPr>
          <w:ilvl w:val="0"/>
          <w:numId w:val="23"/>
        </w:numPr>
        <w:bidi w:val="0"/>
        <w:ind w:left="459" w:hanging="459"/>
        <w:jc w:val="lowKashida"/>
        <w:rPr>
          <w:rFonts w:ascii="Times New Roman" w:hAnsi="Times New Roman" w:cs="Simplified Arabic"/>
          <w:color w:val="000000" w:themeColor="text1"/>
          <w:sz w:val="26"/>
          <w:szCs w:val="26"/>
          <w:rtl/>
        </w:rPr>
      </w:pPr>
      <w:proofErr w:type="spellStart"/>
      <w:r w:rsidRPr="00E24FBE">
        <w:rPr>
          <w:rFonts w:ascii="Times New Roman" w:hAnsi="Times New Roman" w:cs="Simplified Arabic"/>
          <w:color w:val="000000" w:themeColor="text1"/>
          <w:sz w:val="26"/>
          <w:szCs w:val="26"/>
        </w:rPr>
        <w:t>Sajnog</w:t>
      </w:r>
      <w:proofErr w:type="spellEnd"/>
      <w:r w:rsidRPr="00E24FBE">
        <w:rPr>
          <w:rFonts w:ascii="Times New Roman" w:hAnsi="Times New Roman" w:cs="Simplified Arabic"/>
          <w:color w:val="000000" w:themeColor="text1"/>
          <w:sz w:val="26"/>
          <w:szCs w:val="26"/>
        </w:rPr>
        <w:t xml:space="preserve">, A. and Sosnowski, T. (2018), The effect of other comprehensive income reporting on </w:t>
      </w:r>
      <w:proofErr w:type="gramStart"/>
      <w:r w:rsidRPr="00E24FBE">
        <w:rPr>
          <w:rFonts w:ascii="Times New Roman" w:hAnsi="Times New Roman" w:cs="Simplified Arabic"/>
          <w:color w:val="000000" w:themeColor="text1"/>
          <w:sz w:val="26"/>
          <w:szCs w:val="26"/>
        </w:rPr>
        <w:t>accrual based</w:t>
      </w:r>
      <w:proofErr w:type="gramEnd"/>
      <w:r w:rsidRPr="00E24FBE">
        <w:rPr>
          <w:rFonts w:ascii="Times New Roman" w:hAnsi="Times New Roman" w:cs="Simplified Arabic"/>
          <w:color w:val="000000" w:themeColor="text1"/>
          <w:sz w:val="26"/>
          <w:szCs w:val="26"/>
        </w:rPr>
        <w:t xml:space="preserve"> earnings management activities. Faculty of Economics and Sociology, University of Lodz, available at: </w:t>
      </w:r>
      <w:hyperlink r:id="rId9" w:history="1">
        <w:r w:rsidRPr="00E24FBE">
          <w:rPr>
            <w:rStyle w:val="Hyperlink"/>
            <w:rFonts w:ascii="Times New Roman" w:hAnsi="Times New Roman" w:cs="Simplified Arabic"/>
            <w:color w:val="000000" w:themeColor="text1"/>
            <w:sz w:val="26"/>
            <w:szCs w:val="26"/>
          </w:rPr>
          <w:t>http://oeconomia.annales.umcs.pI</w:t>
        </w:r>
      </w:hyperlink>
      <w:r w:rsidRPr="00E24FBE">
        <w:rPr>
          <w:rFonts w:ascii="Times New Roman" w:hAnsi="Times New Roman" w:cs="Simplified Arabic"/>
          <w:color w:val="000000" w:themeColor="text1"/>
          <w:sz w:val="26"/>
          <w:szCs w:val="26"/>
        </w:rPr>
        <w:t>, 2(3):128-135.</w:t>
      </w:r>
    </w:p>
    <w:p w14:paraId="439F7873" w14:textId="77777777" w:rsidR="004D722B" w:rsidRPr="00E24FBE" w:rsidRDefault="004D722B" w:rsidP="002209B2">
      <w:pPr>
        <w:pStyle w:val="FootnoteText"/>
        <w:numPr>
          <w:ilvl w:val="0"/>
          <w:numId w:val="23"/>
        </w:numPr>
        <w:bidi w:val="0"/>
        <w:ind w:left="459" w:hanging="459"/>
        <w:jc w:val="lowKashida"/>
        <w:rPr>
          <w:rFonts w:ascii="Times New Roman" w:hAnsi="Times New Roman" w:cs="Simplified Arabic"/>
          <w:color w:val="000000" w:themeColor="text1"/>
          <w:sz w:val="26"/>
          <w:szCs w:val="26"/>
          <w:lang w:bidi="ar-EG"/>
        </w:rPr>
      </w:pPr>
      <w:proofErr w:type="spellStart"/>
      <w:r w:rsidRPr="00E24FBE">
        <w:rPr>
          <w:rFonts w:ascii="Times New Roman" w:hAnsi="Times New Roman" w:cs="Simplified Arabic"/>
          <w:color w:val="000000" w:themeColor="text1"/>
          <w:sz w:val="26"/>
          <w:szCs w:val="26"/>
        </w:rPr>
        <w:t>Sukesti</w:t>
      </w:r>
      <w:proofErr w:type="spellEnd"/>
      <w:r w:rsidRPr="00E24FBE">
        <w:rPr>
          <w:rFonts w:ascii="Times New Roman" w:hAnsi="Times New Roman" w:cs="Simplified Arabic"/>
          <w:color w:val="000000" w:themeColor="text1"/>
          <w:sz w:val="26"/>
          <w:szCs w:val="26"/>
        </w:rPr>
        <w:t xml:space="preserve">, F., </w:t>
      </w:r>
      <w:proofErr w:type="spellStart"/>
      <w:r w:rsidRPr="00E24FBE">
        <w:rPr>
          <w:rFonts w:ascii="Times New Roman" w:hAnsi="Times New Roman" w:cs="Simplified Arabic"/>
          <w:color w:val="000000" w:themeColor="text1"/>
          <w:sz w:val="26"/>
          <w:szCs w:val="26"/>
        </w:rPr>
        <w:t>Ghozal</w:t>
      </w:r>
      <w:proofErr w:type="spellEnd"/>
      <w:r w:rsidRPr="00E24FBE">
        <w:rPr>
          <w:rFonts w:ascii="Times New Roman" w:hAnsi="Times New Roman" w:cs="Simplified Arabic"/>
          <w:color w:val="000000" w:themeColor="text1"/>
          <w:sz w:val="26"/>
          <w:szCs w:val="26"/>
        </w:rPr>
        <w:t xml:space="preserve">, I., Fuad, F. and </w:t>
      </w:r>
      <w:proofErr w:type="spellStart"/>
      <w:r w:rsidRPr="00E24FBE">
        <w:rPr>
          <w:rFonts w:ascii="Times New Roman" w:hAnsi="Times New Roman" w:cs="Simplified Arabic"/>
          <w:color w:val="000000" w:themeColor="text1"/>
          <w:sz w:val="26"/>
          <w:szCs w:val="26"/>
        </w:rPr>
        <w:t>Almasyhari</w:t>
      </w:r>
      <w:proofErr w:type="spellEnd"/>
      <w:r w:rsidRPr="00E24FBE">
        <w:rPr>
          <w:rFonts w:ascii="Times New Roman" w:hAnsi="Times New Roman" w:cs="Simplified Arabic"/>
          <w:color w:val="000000" w:themeColor="text1"/>
          <w:sz w:val="26"/>
          <w:szCs w:val="26"/>
        </w:rPr>
        <w:t xml:space="preserve">, A. (2021), Factors affecting the stock price: the role of firm Performance. </w:t>
      </w:r>
      <w:r w:rsidRPr="00E24FBE">
        <w:rPr>
          <w:rFonts w:ascii="Times New Roman" w:hAnsi="Times New Roman" w:cs="Simplified Arabic"/>
          <w:b/>
          <w:bCs/>
          <w:color w:val="000000" w:themeColor="text1"/>
          <w:sz w:val="26"/>
          <w:szCs w:val="26"/>
        </w:rPr>
        <w:t>Journal of Asian Finance, Economics and Business</w:t>
      </w:r>
      <w:r w:rsidRPr="00E24FBE">
        <w:rPr>
          <w:rFonts w:ascii="Times New Roman" w:hAnsi="Times New Roman" w:cs="Simplified Arabic"/>
          <w:color w:val="000000" w:themeColor="text1"/>
          <w:sz w:val="26"/>
          <w:szCs w:val="26"/>
        </w:rPr>
        <w:t xml:space="preserve">, 8(2): 165-173. </w:t>
      </w:r>
    </w:p>
    <w:p w14:paraId="57DC9D6E" w14:textId="77777777" w:rsidR="004D722B" w:rsidRPr="00E24FBE" w:rsidRDefault="004D722B" w:rsidP="002209B2">
      <w:pPr>
        <w:pStyle w:val="FootnoteText"/>
        <w:numPr>
          <w:ilvl w:val="0"/>
          <w:numId w:val="23"/>
        </w:numPr>
        <w:bidi w:val="0"/>
        <w:ind w:left="459" w:hanging="459"/>
        <w:jc w:val="lowKashida"/>
        <w:rPr>
          <w:rFonts w:ascii="Times New Roman" w:hAnsi="Times New Roman" w:cs="Simplified Arabic"/>
          <w:color w:val="000000" w:themeColor="text1"/>
          <w:spacing w:val="-6"/>
          <w:sz w:val="26"/>
          <w:szCs w:val="26"/>
        </w:rPr>
      </w:pPr>
      <w:r w:rsidRPr="00E24FBE">
        <w:rPr>
          <w:rFonts w:ascii="Times New Roman" w:hAnsi="Times New Roman" w:cs="Simplified Arabic"/>
          <w:color w:val="000000" w:themeColor="text1"/>
          <w:spacing w:val="-6"/>
          <w:sz w:val="26"/>
          <w:szCs w:val="26"/>
        </w:rPr>
        <w:t xml:space="preserve">Veltri, S. and Ferraro, O. (2018), Does other comprehensive income matter in credit oriented systems? Analyzing the Italian context. </w:t>
      </w:r>
      <w:r w:rsidRPr="00E24FBE">
        <w:rPr>
          <w:rFonts w:ascii="Times New Roman" w:hAnsi="Times New Roman" w:cs="Simplified Arabic"/>
          <w:b/>
          <w:bCs/>
          <w:color w:val="000000" w:themeColor="text1"/>
          <w:spacing w:val="-6"/>
          <w:sz w:val="26"/>
          <w:szCs w:val="26"/>
        </w:rPr>
        <w:t xml:space="preserve">Journal of </w:t>
      </w:r>
      <w:proofErr w:type="spellStart"/>
      <w:r w:rsidRPr="00E24FBE">
        <w:rPr>
          <w:rFonts w:ascii="Times New Roman" w:hAnsi="Times New Roman" w:cs="Simplified Arabic"/>
          <w:b/>
          <w:bCs/>
          <w:color w:val="000000" w:themeColor="text1"/>
          <w:spacing w:val="-6"/>
          <w:sz w:val="26"/>
          <w:szCs w:val="26"/>
        </w:rPr>
        <w:t>Intrnational</w:t>
      </w:r>
      <w:proofErr w:type="spellEnd"/>
      <w:r w:rsidRPr="00E24FBE">
        <w:rPr>
          <w:rFonts w:ascii="Times New Roman" w:hAnsi="Times New Roman" w:cs="Simplified Arabic"/>
          <w:color w:val="000000" w:themeColor="text1"/>
          <w:spacing w:val="-6"/>
          <w:sz w:val="26"/>
          <w:szCs w:val="26"/>
        </w:rPr>
        <w:t xml:space="preserve"> </w:t>
      </w:r>
      <w:r w:rsidRPr="00E24FBE">
        <w:rPr>
          <w:rFonts w:ascii="Times New Roman" w:hAnsi="Times New Roman" w:cs="Simplified Arabic"/>
          <w:b/>
          <w:bCs/>
          <w:color w:val="000000" w:themeColor="text1"/>
          <w:spacing w:val="-6"/>
          <w:sz w:val="26"/>
          <w:szCs w:val="26"/>
        </w:rPr>
        <w:t>Accounting &amp; Auditing and Taxation</w:t>
      </w:r>
      <w:r w:rsidRPr="00E24FBE">
        <w:rPr>
          <w:rFonts w:ascii="Times New Roman" w:hAnsi="Times New Roman" w:cs="Simplified Arabic"/>
          <w:color w:val="000000" w:themeColor="text1"/>
          <w:spacing w:val="-6"/>
          <w:sz w:val="26"/>
          <w:szCs w:val="26"/>
        </w:rPr>
        <w:t>, 30: 18-31.</w:t>
      </w:r>
    </w:p>
    <w:p w14:paraId="45907401" w14:textId="77777777" w:rsidR="004D722B" w:rsidRPr="00E24FBE" w:rsidRDefault="004D722B" w:rsidP="002209B2">
      <w:pPr>
        <w:pStyle w:val="FootnoteText"/>
        <w:numPr>
          <w:ilvl w:val="0"/>
          <w:numId w:val="23"/>
        </w:numPr>
        <w:bidi w:val="0"/>
        <w:ind w:left="459" w:hanging="459"/>
        <w:jc w:val="lowKashida"/>
        <w:rPr>
          <w:rFonts w:ascii="Times New Roman" w:hAnsi="Times New Roman" w:cs="Simplified Arabic"/>
          <w:color w:val="000000" w:themeColor="text1"/>
          <w:sz w:val="26"/>
          <w:szCs w:val="26"/>
          <w:rtl/>
          <w:lang w:bidi="ar-EG"/>
        </w:rPr>
      </w:pPr>
      <w:proofErr w:type="spellStart"/>
      <w:r w:rsidRPr="00E24FBE">
        <w:rPr>
          <w:rFonts w:ascii="Times New Roman" w:hAnsi="Times New Roman" w:cs="Simplified Arabic"/>
          <w:color w:val="000000" w:themeColor="text1"/>
          <w:sz w:val="26"/>
          <w:szCs w:val="26"/>
        </w:rPr>
        <w:t>Yadirichukwu</w:t>
      </w:r>
      <w:proofErr w:type="spellEnd"/>
      <w:r w:rsidRPr="00E24FBE">
        <w:rPr>
          <w:rFonts w:ascii="Times New Roman" w:hAnsi="Times New Roman" w:cs="Simplified Arabic"/>
          <w:color w:val="000000" w:themeColor="text1"/>
          <w:sz w:val="26"/>
          <w:szCs w:val="26"/>
        </w:rPr>
        <w:t xml:space="preserve">, E. and Ogochukwu, O. (2014), evaluation of the weak form of efficient market hypothesis: Empirical evidence from Nigeria. </w:t>
      </w:r>
      <w:r w:rsidRPr="00E24FBE">
        <w:rPr>
          <w:rFonts w:ascii="Times New Roman" w:hAnsi="Times New Roman" w:cs="Simplified Arabic"/>
          <w:b/>
          <w:bCs/>
          <w:color w:val="000000" w:themeColor="text1"/>
          <w:sz w:val="26"/>
          <w:szCs w:val="26"/>
        </w:rPr>
        <w:t>International Journal of Development</w:t>
      </w:r>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and Sustainability</w:t>
      </w:r>
      <w:r w:rsidRPr="00E24FBE">
        <w:rPr>
          <w:rFonts w:ascii="Times New Roman" w:hAnsi="Times New Roman" w:cs="Simplified Arabic"/>
          <w:color w:val="000000" w:themeColor="text1"/>
          <w:sz w:val="26"/>
          <w:szCs w:val="26"/>
        </w:rPr>
        <w:t>, 3(5): 1199-1244.</w:t>
      </w:r>
    </w:p>
    <w:p w14:paraId="51BF2B8B" w14:textId="77777777" w:rsidR="004D722B" w:rsidRPr="00E24FBE" w:rsidRDefault="004D722B" w:rsidP="002209B2">
      <w:pPr>
        <w:pStyle w:val="FootnoteText"/>
        <w:numPr>
          <w:ilvl w:val="0"/>
          <w:numId w:val="23"/>
        </w:numPr>
        <w:bidi w:val="0"/>
        <w:ind w:left="459" w:hanging="459"/>
        <w:jc w:val="lowKashida"/>
        <w:rPr>
          <w:rFonts w:ascii="Times New Roman" w:hAnsi="Times New Roman" w:cs="Simplified Arabic"/>
          <w:color w:val="000000" w:themeColor="text1"/>
          <w:sz w:val="26"/>
          <w:szCs w:val="26"/>
        </w:rPr>
      </w:pPr>
      <w:proofErr w:type="spellStart"/>
      <w:r w:rsidRPr="00E24FBE">
        <w:rPr>
          <w:rFonts w:ascii="Times New Roman" w:hAnsi="Times New Roman" w:cs="Simplified Arabic"/>
          <w:color w:val="000000" w:themeColor="text1"/>
          <w:sz w:val="26"/>
          <w:szCs w:val="26"/>
        </w:rPr>
        <w:t>Youssefinejad</w:t>
      </w:r>
      <w:proofErr w:type="spellEnd"/>
      <w:r w:rsidRPr="00E24FBE">
        <w:rPr>
          <w:rFonts w:ascii="Times New Roman" w:hAnsi="Times New Roman" w:cs="Simplified Arabic"/>
          <w:color w:val="000000" w:themeColor="text1"/>
          <w:sz w:val="26"/>
          <w:szCs w:val="26"/>
        </w:rPr>
        <w:t xml:space="preserve">, M. and Embong, z. (2017), Value relevance of other comprehensive income and its available for sale financial instruments (AFS) and revaluation surplus of property, plant and equipment (REV) components. </w:t>
      </w:r>
      <w:r w:rsidRPr="00E24FBE">
        <w:rPr>
          <w:rFonts w:ascii="Times New Roman" w:hAnsi="Times New Roman" w:cs="Simplified Arabic"/>
          <w:b/>
          <w:bCs/>
          <w:color w:val="000000" w:themeColor="text1"/>
          <w:sz w:val="26"/>
          <w:szCs w:val="26"/>
        </w:rPr>
        <w:t>Asian Journal of Accounting and</w:t>
      </w:r>
      <w:r w:rsidRPr="00E24FBE">
        <w:rPr>
          <w:rFonts w:ascii="Times New Roman" w:hAnsi="Times New Roman" w:cs="Simplified Arabic"/>
          <w:color w:val="000000" w:themeColor="text1"/>
          <w:sz w:val="26"/>
          <w:szCs w:val="26"/>
        </w:rPr>
        <w:t xml:space="preserve"> </w:t>
      </w:r>
      <w:r w:rsidRPr="00E24FBE">
        <w:rPr>
          <w:rFonts w:ascii="Times New Roman" w:hAnsi="Times New Roman" w:cs="Simplified Arabic"/>
          <w:b/>
          <w:bCs/>
          <w:color w:val="000000" w:themeColor="text1"/>
          <w:sz w:val="26"/>
          <w:szCs w:val="26"/>
        </w:rPr>
        <w:t>Governance</w:t>
      </w:r>
      <w:r w:rsidRPr="00E24FBE">
        <w:rPr>
          <w:rFonts w:ascii="Times New Roman" w:hAnsi="Times New Roman" w:cs="Simplified Arabic"/>
          <w:color w:val="000000" w:themeColor="text1"/>
          <w:sz w:val="26"/>
          <w:szCs w:val="26"/>
        </w:rPr>
        <w:t>, (8): 134-143.</w:t>
      </w:r>
    </w:p>
    <w:sectPr w:rsidR="004D722B" w:rsidRPr="00E24FBE" w:rsidSect="00A437D8">
      <w:footerReference w:type="default" r:id="rId10"/>
      <w:footerReference w:type="first" r:id="rId11"/>
      <w:footnotePr>
        <w:numRestart w:val="eachPage"/>
      </w:footnotePr>
      <w:endnotePr>
        <w:numFmt w:val="decimal"/>
      </w:endnotePr>
      <w:pgSz w:w="11906" w:h="16838"/>
      <w:pgMar w:top="2268" w:right="1701" w:bottom="1701" w:left="1701" w:header="709" w:footer="709" w:gutter="0"/>
      <w:pgNumType w:start="1"/>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286F" w14:textId="77777777" w:rsidR="00C73669" w:rsidRDefault="00C73669" w:rsidP="00F00BF6">
      <w:r>
        <w:separator/>
      </w:r>
    </w:p>
  </w:endnote>
  <w:endnote w:type="continuationSeparator" w:id="0">
    <w:p w14:paraId="037EFCA5" w14:textId="77777777" w:rsidR="00C73669" w:rsidRPr="00E71341" w:rsidRDefault="00C73669" w:rsidP="00E71341">
      <w:pPr>
        <w:pStyle w:val="Footer"/>
        <w:rPr>
          <w:rtl/>
          <w:lang w:bidi="ar-EG"/>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GE Jarida Heavy">
    <w:altName w:val="Sakkal Majalla"/>
    <w:panose1 w:val="00000000000000000000"/>
    <w:charset w:val="B2"/>
    <w:family w:val="roman"/>
    <w:notTrueType/>
    <w:pitch w:val="variable"/>
    <w:sig w:usb0="80002003" w:usb1="80000100" w:usb2="00000028" w:usb3="00000000" w:csb0="00000040" w:csb1="00000000"/>
  </w:font>
  <w:font w:name="Arial Black">
    <w:panose1 w:val="020B0A04020102020204"/>
    <w:charset w:val="00"/>
    <w:family w:val="swiss"/>
    <w:pitch w:val="variable"/>
    <w:sig w:usb0="A00002AF" w:usb1="400078FB" w:usb2="00000000" w:usb3="00000000" w:csb0="0000009F" w:csb1="00000000"/>
  </w:font>
  <w:font w:name="SKR HEAD1">
    <w:altName w:val="Arial"/>
    <w:charset w:val="B2"/>
    <w:family w:val="auto"/>
    <w:pitch w:val="variable"/>
    <w:sig w:usb0="00002001" w:usb1="00000000" w:usb2="00000000" w:usb3="00000000" w:csb0="00000040" w:csb1="00000000"/>
  </w:font>
  <w:font w:name="Malik Lt BT">
    <w:altName w:val="Arial"/>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9E65" w14:textId="77777777" w:rsidR="00EA1E60" w:rsidRPr="00F87965" w:rsidRDefault="00EA1E60" w:rsidP="00CD569F">
    <w:pPr>
      <w:pStyle w:val="Footer"/>
      <w:jc w:val="center"/>
      <w:rPr>
        <w:rtl/>
        <w:lang w:bidi="ar-EG"/>
      </w:rPr>
    </w:pPr>
    <w:r>
      <w:rPr>
        <w:rFonts w:hint="cs"/>
        <w:rtl/>
      </w:rPr>
      <w:t>-</w:t>
    </w:r>
    <w:sdt>
      <w:sdtPr>
        <w:rPr>
          <w:rtl/>
        </w:rPr>
        <w:id w:val="1786299561"/>
        <w:docPartObj>
          <w:docPartGallery w:val="Page Numbers (Bottom of Page)"/>
          <w:docPartUnique/>
        </w:docPartObj>
      </w:sdtPr>
      <w:sdtEndPr/>
      <w:sdtContent>
        <w:r>
          <w:fldChar w:fldCharType="begin"/>
        </w:r>
        <w:r>
          <w:instrText xml:space="preserve"> PAGE   \* MERGEFORMAT </w:instrText>
        </w:r>
        <w:r>
          <w:fldChar w:fldCharType="separate"/>
        </w:r>
        <w:r w:rsidR="00C85ED3">
          <w:rPr>
            <w:noProof/>
            <w:rtl/>
          </w:rPr>
          <w:t>31</w:t>
        </w:r>
        <w:r>
          <w:rPr>
            <w:noProof/>
          </w:rPr>
          <w:fldChar w:fldCharType="end"/>
        </w:r>
        <w:r>
          <w:rPr>
            <w:rFonts w:hint="cs"/>
            <w:noProof/>
            <w:rtl/>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77F" w14:textId="77777777" w:rsidR="00EA1E60" w:rsidRDefault="00EA1E60" w:rsidP="00452420">
    <w:pPr>
      <w:pStyle w:val="Footer"/>
      <w:jc w:val="center"/>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AB39" w14:textId="77777777" w:rsidR="00C73669" w:rsidRDefault="00C73669" w:rsidP="00F00BF6">
      <w:r>
        <w:separator/>
      </w:r>
    </w:p>
  </w:footnote>
  <w:footnote w:type="continuationSeparator" w:id="0">
    <w:p w14:paraId="4C323B11" w14:textId="77777777" w:rsidR="00C73669" w:rsidRDefault="00C73669" w:rsidP="00F00BF6">
      <w:r>
        <w:continuationSeparator/>
      </w:r>
    </w:p>
  </w:footnote>
  <w:footnote w:id="1">
    <w:p w14:paraId="71DC8767" w14:textId="77777777" w:rsidR="00EA1E60" w:rsidRPr="00AD7FE7" w:rsidRDefault="00EA1E60" w:rsidP="00C65B31">
      <w:pPr>
        <w:pStyle w:val="FootnoteText"/>
        <w:ind w:left="340" w:hanging="340"/>
        <w:jc w:val="lowKashida"/>
        <w:rPr>
          <w:rFonts w:ascii="Times New Roman" w:hAnsi="Times New Roman" w:cs="Simplified Arabic"/>
          <w:w w:val="92"/>
          <w:sz w:val="24"/>
          <w:szCs w:val="24"/>
          <w:rtl/>
          <w:lang w:bidi="ar-EG"/>
        </w:rPr>
      </w:pPr>
      <w:r w:rsidRPr="00AD7FE7">
        <w:rPr>
          <w:rFonts w:ascii="Times New Roman" w:hAnsi="Times New Roman" w:cs="Simplified Arabic"/>
          <w:sz w:val="24"/>
          <w:szCs w:val="24"/>
          <w:lang w:bidi="ar-EG"/>
        </w:rPr>
        <w:t>(</w:t>
      </w:r>
      <w:r w:rsidRPr="00AD7FE7">
        <w:rPr>
          <w:rFonts w:ascii="Times New Roman" w:hAnsi="Times New Roman" w:cs="Simplified Arabic"/>
          <w:sz w:val="24"/>
          <w:szCs w:val="24"/>
          <w:lang w:bidi="ar-EG"/>
        </w:rPr>
        <w:footnoteRef/>
      </w:r>
      <w:r w:rsidRPr="00AD7FE7">
        <w:rPr>
          <w:rFonts w:ascii="Times New Roman" w:hAnsi="Times New Roman" w:cs="Simplified Arabic"/>
          <w:sz w:val="24"/>
          <w:szCs w:val="24"/>
          <w:lang w:bidi="ar-EG"/>
        </w:rPr>
        <w:t>)</w:t>
      </w:r>
      <w:r w:rsidRPr="00AD7FE7">
        <w:rPr>
          <w:rFonts w:ascii="Times New Roman" w:hAnsi="Times New Roman" w:cs="Simplified Arabic" w:hint="cs"/>
          <w:sz w:val="24"/>
          <w:szCs w:val="24"/>
          <w:rtl/>
        </w:rPr>
        <w:t xml:space="preserve"> لمزيد من التفاصيل حول نماذج جوجل وكيفية تصميمها يراجع فى ذلك الموقع الرسمى لجوجل:</w:t>
      </w:r>
    </w:p>
    <w:p w14:paraId="3443797F" w14:textId="77777777" w:rsidR="00EA1E60" w:rsidRPr="00AD7FE7" w:rsidRDefault="007A4940" w:rsidP="00C65B31">
      <w:pPr>
        <w:pStyle w:val="FootnoteText"/>
        <w:tabs>
          <w:tab w:val="left" w:pos="7886"/>
        </w:tabs>
        <w:bidi w:val="0"/>
        <w:ind w:right="426"/>
        <w:jc w:val="lowKashida"/>
        <w:rPr>
          <w:rFonts w:ascii="Times New Roman" w:hAnsi="Times New Roman" w:cs="Simplified Arabic"/>
          <w:color w:val="000000" w:themeColor="text1"/>
          <w:sz w:val="24"/>
          <w:szCs w:val="24"/>
          <w:lang w:bidi="ar-EG"/>
        </w:rPr>
      </w:pPr>
      <w:hyperlink r:id="rId1" w:history="1">
        <w:r w:rsidR="00EA1E60" w:rsidRPr="00AD7FE7">
          <w:rPr>
            <w:rStyle w:val="Hyperlink"/>
            <w:rFonts w:ascii="Times New Roman" w:hAnsi="Times New Roman" w:cs="Simplified Arabic"/>
            <w:color w:val="000000" w:themeColor="text1"/>
            <w:sz w:val="24"/>
            <w:szCs w:val="24"/>
          </w:rPr>
          <w:t>https://www.google.com/intl/ar_eg/forms/about/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4C9EDA"/>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5BE7102"/>
    <w:multiLevelType w:val="hybridMultilevel"/>
    <w:tmpl w:val="4DA29F0A"/>
    <w:lvl w:ilvl="0" w:tplc="7DF8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C0FA8"/>
    <w:multiLevelType w:val="hybridMultilevel"/>
    <w:tmpl w:val="B394D82A"/>
    <w:lvl w:ilvl="0" w:tplc="7B086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F14B9"/>
    <w:multiLevelType w:val="hybridMultilevel"/>
    <w:tmpl w:val="82940B7E"/>
    <w:lvl w:ilvl="0" w:tplc="7B0860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80E87"/>
    <w:multiLevelType w:val="hybridMultilevel"/>
    <w:tmpl w:val="EE6650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F17629"/>
    <w:multiLevelType w:val="hybridMultilevel"/>
    <w:tmpl w:val="86F6EC9E"/>
    <w:lvl w:ilvl="0" w:tplc="7DF8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E05F8"/>
    <w:multiLevelType w:val="hybridMultilevel"/>
    <w:tmpl w:val="B21C626A"/>
    <w:lvl w:ilvl="0" w:tplc="057A8818">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282B5D"/>
    <w:multiLevelType w:val="hybridMultilevel"/>
    <w:tmpl w:val="7B2246D0"/>
    <w:lvl w:ilvl="0" w:tplc="363AD0D2">
      <w:start w:val="1"/>
      <w:numFmt w:val="decimal"/>
      <w:lvlText w:val="%1-"/>
      <w:lvlJc w:val="left"/>
      <w:pPr>
        <w:ind w:left="720" w:hanging="720"/>
      </w:pPr>
      <w:rPr>
        <w:rFonts w:ascii="Simplified Arabic" w:hAnsi="Simplified Arabic" w:cs="Simplified Arabic" w:hint="default"/>
        <w:b w:val="0"/>
        <w:bCs w:val="0"/>
        <w:vertAlign w:val="baseline"/>
      </w:rPr>
    </w:lvl>
    <w:lvl w:ilvl="1" w:tplc="48FC6F64">
      <w:start w:val="1"/>
      <w:numFmt w:val="decimal"/>
      <w:lvlText w:val="%2-"/>
      <w:lvlJc w:val="left"/>
      <w:pPr>
        <w:ind w:left="2040" w:hanging="1230"/>
      </w:pPr>
      <w:rPr>
        <w:rFonts w:hint="default"/>
      </w:rPr>
    </w:lvl>
    <w:lvl w:ilvl="2" w:tplc="C77C647C">
      <w:start w:val="2"/>
      <w:numFmt w:val="decimal"/>
      <w:lvlText w:val="%3"/>
      <w:lvlJc w:val="left"/>
      <w:pPr>
        <w:ind w:left="1980" w:hanging="360"/>
      </w:pPr>
      <w:rPr>
        <w:rFonts w:hint="default"/>
        <w:b/>
        <w:sz w:val="3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1E01C3"/>
    <w:multiLevelType w:val="hybridMultilevel"/>
    <w:tmpl w:val="6C06C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83292"/>
    <w:multiLevelType w:val="hybridMultilevel"/>
    <w:tmpl w:val="96CED29A"/>
    <w:lvl w:ilvl="0" w:tplc="A43E51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BB34044"/>
    <w:multiLevelType w:val="hybridMultilevel"/>
    <w:tmpl w:val="5472F9A8"/>
    <w:lvl w:ilvl="0" w:tplc="5000A62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E7F2B"/>
    <w:multiLevelType w:val="hybridMultilevel"/>
    <w:tmpl w:val="EEFA9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A3906"/>
    <w:multiLevelType w:val="hybridMultilevel"/>
    <w:tmpl w:val="91A28D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72BDF"/>
    <w:multiLevelType w:val="hybridMultilevel"/>
    <w:tmpl w:val="2512ABC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34AEA"/>
    <w:multiLevelType w:val="hybridMultilevel"/>
    <w:tmpl w:val="5950E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C3955"/>
    <w:multiLevelType w:val="hybridMultilevel"/>
    <w:tmpl w:val="053ACD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B01DBA"/>
    <w:multiLevelType w:val="hybridMultilevel"/>
    <w:tmpl w:val="33E413B6"/>
    <w:lvl w:ilvl="0" w:tplc="5000A62C">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9964880"/>
    <w:multiLevelType w:val="hybridMultilevel"/>
    <w:tmpl w:val="41BE87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5588E"/>
    <w:multiLevelType w:val="hybridMultilevel"/>
    <w:tmpl w:val="92A8D30E"/>
    <w:lvl w:ilvl="0" w:tplc="DBF49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103E9"/>
    <w:multiLevelType w:val="hybridMultilevel"/>
    <w:tmpl w:val="B824C824"/>
    <w:lvl w:ilvl="0" w:tplc="31C4A2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3510C67"/>
    <w:multiLevelType w:val="hybridMultilevel"/>
    <w:tmpl w:val="F8DC98FC"/>
    <w:lvl w:ilvl="0" w:tplc="7DF8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780D07"/>
    <w:multiLevelType w:val="hybridMultilevel"/>
    <w:tmpl w:val="14320E1C"/>
    <w:lvl w:ilvl="0" w:tplc="7DF8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F713A"/>
    <w:multiLevelType w:val="hybridMultilevel"/>
    <w:tmpl w:val="90069E64"/>
    <w:lvl w:ilvl="0" w:tplc="5CA46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7216B"/>
    <w:multiLevelType w:val="hybridMultilevel"/>
    <w:tmpl w:val="5E0A2B80"/>
    <w:lvl w:ilvl="0" w:tplc="7DF8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9543C"/>
    <w:multiLevelType w:val="hybridMultilevel"/>
    <w:tmpl w:val="9378FFCE"/>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540" w:hanging="360"/>
      </w:pPr>
      <w:rPr>
        <w:rFonts w:ascii="Wingdings" w:hAnsi="Wingdings" w:hint="default"/>
      </w:rPr>
    </w:lvl>
    <w:lvl w:ilvl="2" w:tplc="5DC6D7D0">
      <w:start w:val="22"/>
      <w:numFmt w:val="bullet"/>
      <w:lvlText w:val="﷒"/>
      <w:lvlJc w:val="left"/>
      <w:pPr>
        <w:ind w:left="2160" w:hanging="360"/>
      </w:pPr>
      <w:rPr>
        <w:rFonts w:ascii="Simplified Arabic" w:eastAsia="Times New Roman" w:hAnsi="Simplified Arabic" w:cs="Simplified Arab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447172">
    <w:abstractNumId w:val="0"/>
  </w:num>
  <w:num w:numId="2" w16cid:durableId="212424698">
    <w:abstractNumId w:val="22"/>
  </w:num>
  <w:num w:numId="3" w16cid:durableId="1674529609">
    <w:abstractNumId w:val="7"/>
  </w:num>
  <w:num w:numId="4" w16cid:durableId="2033409870">
    <w:abstractNumId w:val="13"/>
  </w:num>
  <w:num w:numId="5" w16cid:durableId="772944612">
    <w:abstractNumId w:val="18"/>
  </w:num>
  <w:num w:numId="6" w16cid:durableId="452482487">
    <w:abstractNumId w:val="24"/>
  </w:num>
  <w:num w:numId="7" w16cid:durableId="704915694">
    <w:abstractNumId w:val="10"/>
  </w:num>
  <w:num w:numId="8" w16cid:durableId="1187720481">
    <w:abstractNumId w:val="11"/>
  </w:num>
  <w:num w:numId="9" w16cid:durableId="1584530866">
    <w:abstractNumId w:val="14"/>
  </w:num>
  <w:num w:numId="10" w16cid:durableId="1854832049">
    <w:abstractNumId w:val="17"/>
  </w:num>
  <w:num w:numId="11" w16cid:durableId="156189798">
    <w:abstractNumId w:val="8"/>
  </w:num>
  <w:num w:numId="12" w16cid:durableId="1736314497">
    <w:abstractNumId w:val="4"/>
  </w:num>
  <w:num w:numId="13" w16cid:durableId="1921063039">
    <w:abstractNumId w:val="15"/>
  </w:num>
  <w:num w:numId="14" w16cid:durableId="1685285122">
    <w:abstractNumId w:val="5"/>
  </w:num>
  <w:num w:numId="15" w16cid:durableId="18355590">
    <w:abstractNumId w:val="21"/>
  </w:num>
  <w:num w:numId="16" w16cid:durableId="150146921">
    <w:abstractNumId w:val="20"/>
  </w:num>
  <w:num w:numId="17" w16cid:durableId="1549222155">
    <w:abstractNumId w:val="23"/>
  </w:num>
  <w:num w:numId="18" w16cid:durableId="723912500">
    <w:abstractNumId w:val="1"/>
  </w:num>
  <w:num w:numId="19" w16cid:durableId="1849320595">
    <w:abstractNumId w:val="12"/>
  </w:num>
  <w:num w:numId="20" w16cid:durableId="1973634588">
    <w:abstractNumId w:val="19"/>
  </w:num>
  <w:num w:numId="21" w16cid:durableId="1857422635">
    <w:abstractNumId w:val="6"/>
  </w:num>
  <w:num w:numId="22" w16cid:durableId="1091391626">
    <w:abstractNumId w:val="3"/>
  </w:num>
  <w:num w:numId="23" w16cid:durableId="400442309">
    <w:abstractNumId w:val="2"/>
  </w:num>
  <w:num w:numId="24" w16cid:durableId="348067172">
    <w:abstractNumId w:val="16"/>
  </w:num>
  <w:num w:numId="25" w16cid:durableId="1448892871">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numRestart w:val="eachPage"/>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48D"/>
    <w:rsid w:val="0000022B"/>
    <w:rsid w:val="00000328"/>
    <w:rsid w:val="0000058D"/>
    <w:rsid w:val="000011D8"/>
    <w:rsid w:val="00001681"/>
    <w:rsid w:val="00001963"/>
    <w:rsid w:val="00001BD7"/>
    <w:rsid w:val="000026AA"/>
    <w:rsid w:val="00002AD3"/>
    <w:rsid w:val="00002EC7"/>
    <w:rsid w:val="00002FBC"/>
    <w:rsid w:val="00003021"/>
    <w:rsid w:val="0000324F"/>
    <w:rsid w:val="0000357F"/>
    <w:rsid w:val="00004222"/>
    <w:rsid w:val="000044BF"/>
    <w:rsid w:val="00006729"/>
    <w:rsid w:val="00007846"/>
    <w:rsid w:val="00010649"/>
    <w:rsid w:val="0001098A"/>
    <w:rsid w:val="00010FA0"/>
    <w:rsid w:val="00011F4B"/>
    <w:rsid w:val="00012A63"/>
    <w:rsid w:val="00012A77"/>
    <w:rsid w:val="0001361D"/>
    <w:rsid w:val="0001381B"/>
    <w:rsid w:val="00013919"/>
    <w:rsid w:val="00013A13"/>
    <w:rsid w:val="00014320"/>
    <w:rsid w:val="000149A6"/>
    <w:rsid w:val="000155EC"/>
    <w:rsid w:val="00015A6B"/>
    <w:rsid w:val="00015AD8"/>
    <w:rsid w:val="00016297"/>
    <w:rsid w:val="00017254"/>
    <w:rsid w:val="000178F0"/>
    <w:rsid w:val="00020A7D"/>
    <w:rsid w:val="00021A3E"/>
    <w:rsid w:val="00021BD1"/>
    <w:rsid w:val="00021F1A"/>
    <w:rsid w:val="00022576"/>
    <w:rsid w:val="00022BC2"/>
    <w:rsid w:val="00023022"/>
    <w:rsid w:val="00023045"/>
    <w:rsid w:val="000230D6"/>
    <w:rsid w:val="000231F9"/>
    <w:rsid w:val="000239CE"/>
    <w:rsid w:val="00024567"/>
    <w:rsid w:val="0002495B"/>
    <w:rsid w:val="00024B45"/>
    <w:rsid w:val="000250F6"/>
    <w:rsid w:val="00025439"/>
    <w:rsid w:val="00030097"/>
    <w:rsid w:val="000300D3"/>
    <w:rsid w:val="000318A4"/>
    <w:rsid w:val="000318AC"/>
    <w:rsid w:val="00031A46"/>
    <w:rsid w:val="00031A82"/>
    <w:rsid w:val="000321E8"/>
    <w:rsid w:val="0003289D"/>
    <w:rsid w:val="00032AC5"/>
    <w:rsid w:val="00033766"/>
    <w:rsid w:val="000337F1"/>
    <w:rsid w:val="000339AA"/>
    <w:rsid w:val="00033CEC"/>
    <w:rsid w:val="00034E14"/>
    <w:rsid w:val="000354E9"/>
    <w:rsid w:val="0003731E"/>
    <w:rsid w:val="0003755D"/>
    <w:rsid w:val="00040159"/>
    <w:rsid w:val="00041202"/>
    <w:rsid w:val="00042DEE"/>
    <w:rsid w:val="000433B7"/>
    <w:rsid w:val="000433BE"/>
    <w:rsid w:val="00043531"/>
    <w:rsid w:val="00043626"/>
    <w:rsid w:val="00043A30"/>
    <w:rsid w:val="00043E61"/>
    <w:rsid w:val="00044A38"/>
    <w:rsid w:val="000464B6"/>
    <w:rsid w:val="00046B2F"/>
    <w:rsid w:val="00046CD0"/>
    <w:rsid w:val="00046D38"/>
    <w:rsid w:val="00046D92"/>
    <w:rsid w:val="000470F7"/>
    <w:rsid w:val="00047318"/>
    <w:rsid w:val="00047CC5"/>
    <w:rsid w:val="00050032"/>
    <w:rsid w:val="00051EA6"/>
    <w:rsid w:val="00052058"/>
    <w:rsid w:val="00052397"/>
    <w:rsid w:val="00052ACE"/>
    <w:rsid w:val="0005360F"/>
    <w:rsid w:val="00053AF9"/>
    <w:rsid w:val="00053C8E"/>
    <w:rsid w:val="000542FD"/>
    <w:rsid w:val="000546B9"/>
    <w:rsid w:val="00054A2D"/>
    <w:rsid w:val="00054B18"/>
    <w:rsid w:val="00054E34"/>
    <w:rsid w:val="00055F79"/>
    <w:rsid w:val="000569C1"/>
    <w:rsid w:val="00056BEC"/>
    <w:rsid w:val="00057DBB"/>
    <w:rsid w:val="000600C3"/>
    <w:rsid w:val="000602F6"/>
    <w:rsid w:val="000625D7"/>
    <w:rsid w:val="00062C5D"/>
    <w:rsid w:val="00062D30"/>
    <w:rsid w:val="00063918"/>
    <w:rsid w:val="00063AE6"/>
    <w:rsid w:val="00064598"/>
    <w:rsid w:val="00064700"/>
    <w:rsid w:val="000658BE"/>
    <w:rsid w:val="00065905"/>
    <w:rsid w:val="00065995"/>
    <w:rsid w:val="000664E9"/>
    <w:rsid w:val="00067116"/>
    <w:rsid w:val="00067538"/>
    <w:rsid w:val="0007023C"/>
    <w:rsid w:val="00070F60"/>
    <w:rsid w:val="000715CA"/>
    <w:rsid w:val="000718CA"/>
    <w:rsid w:val="00071F76"/>
    <w:rsid w:val="00072097"/>
    <w:rsid w:val="00072A4E"/>
    <w:rsid w:val="00073204"/>
    <w:rsid w:val="00073F00"/>
    <w:rsid w:val="000749D3"/>
    <w:rsid w:val="00074A6D"/>
    <w:rsid w:val="00076B88"/>
    <w:rsid w:val="00077009"/>
    <w:rsid w:val="00077B56"/>
    <w:rsid w:val="00080615"/>
    <w:rsid w:val="00080972"/>
    <w:rsid w:val="000811BC"/>
    <w:rsid w:val="000811EA"/>
    <w:rsid w:val="00081D27"/>
    <w:rsid w:val="00083446"/>
    <w:rsid w:val="0008417C"/>
    <w:rsid w:val="00085586"/>
    <w:rsid w:val="000858D9"/>
    <w:rsid w:val="00085E74"/>
    <w:rsid w:val="0008782B"/>
    <w:rsid w:val="00087AD1"/>
    <w:rsid w:val="00087F68"/>
    <w:rsid w:val="00090977"/>
    <w:rsid w:val="00091759"/>
    <w:rsid w:val="000917E6"/>
    <w:rsid w:val="00091CAE"/>
    <w:rsid w:val="00091E59"/>
    <w:rsid w:val="0009211B"/>
    <w:rsid w:val="00092B0E"/>
    <w:rsid w:val="0009300A"/>
    <w:rsid w:val="000939F5"/>
    <w:rsid w:val="00093DE2"/>
    <w:rsid w:val="0009637E"/>
    <w:rsid w:val="00097664"/>
    <w:rsid w:val="00097831"/>
    <w:rsid w:val="000978EC"/>
    <w:rsid w:val="00097934"/>
    <w:rsid w:val="000A0776"/>
    <w:rsid w:val="000A1AC3"/>
    <w:rsid w:val="000A274D"/>
    <w:rsid w:val="000A3D45"/>
    <w:rsid w:val="000A5346"/>
    <w:rsid w:val="000A5CC0"/>
    <w:rsid w:val="000A65C4"/>
    <w:rsid w:val="000A7289"/>
    <w:rsid w:val="000A7A64"/>
    <w:rsid w:val="000A7ED7"/>
    <w:rsid w:val="000B06FE"/>
    <w:rsid w:val="000B0B92"/>
    <w:rsid w:val="000B11CA"/>
    <w:rsid w:val="000B2193"/>
    <w:rsid w:val="000B2290"/>
    <w:rsid w:val="000B2D8F"/>
    <w:rsid w:val="000B2EED"/>
    <w:rsid w:val="000B4562"/>
    <w:rsid w:val="000B5010"/>
    <w:rsid w:val="000B6F5C"/>
    <w:rsid w:val="000C02BE"/>
    <w:rsid w:val="000C0BC1"/>
    <w:rsid w:val="000C1383"/>
    <w:rsid w:val="000C1C16"/>
    <w:rsid w:val="000C31B5"/>
    <w:rsid w:val="000C369D"/>
    <w:rsid w:val="000C3779"/>
    <w:rsid w:val="000C42DC"/>
    <w:rsid w:val="000C559C"/>
    <w:rsid w:val="000C67CC"/>
    <w:rsid w:val="000C6F8A"/>
    <w:rsid w:val="000C73D1"/>
    <w:rsid w:val="000C74C2"/>
    <w:rsid w:val="000D02C8"/>
    <w:rsid w:val="000D02D0"/>
    <w:rsid w:val="000D0D75"/>
    <w:rsid w:val="000D19BE"/>
    <w:rsid w:val="000D218F"/>
    <w:rsid w:val="000D2531"/>
    <w:rsid w:val="000D2665"/>
    <w:rsid w:val="000D3D1C"/>
    <w:rsid w:val="000D3E92"/>
    <w:rsid w:val="000D3FDE"/>
    <w:rsid w:val="000D5A5A"/>
    <w:rsid w:val="000D5E36"/>
    <w:rsid w:val="000D660C"/>
    <w:rsid w:val="000D71A9"/>
    <w:rsid w:val="000D7322"/>
    <w:rsid w:val="000D7454"/>
    <w:rsid w:val="000D75A5"/>
    <w:rsid w:val="000D79FA"/>
    <w:rsid w:val="000D7B46"/>
    <w:rsid w:val="000E0D21"/>
    <w:rsid w:val="000E0D86"/>
    <w:rsid w:val="000E1830"/>
    <w:rsid w:val="000E1999"/>
    <w:rsid w:val="000E207D"/>
    <w:rsid w:val="000E2600"/>
    <w:rsid w:val="000E2669"/>
    <w:rsid w:val="000E26B1"/>
    <w:rsid w:val="000E300D"/>
    <w:rsid w:val="000E323C"/>
    <w:rsid w:val="000E33C8"/>
    <w:rsid w:val="000E3672"/>
    <w:rsid w:val="000E409B"/>
    <w:rsid w:val="000E50AE"/>
    <w:rsid w:val="000E5AA4"/>
    <w:rsid w:val="000E5F63"/>
    <w:rsid w:val="000E5F76"/>
    <w:rsid w:val="000E6C3C"/>
    <w:rsid w:val="000E72CE"/>
    <w:rsid w:val="000E739F"/>
    <w:rsid w:val="000E74F4"/>
    <w:rsid w:val="000E7E66"/>
    <w:rsid w:val="000F0CAB"/>
    <w:rsid w:val="000F1071"/>
    <w:rsid w:val="000F12BB"/>
    <w:rsid w:val="000F189C"/>
    <w:rsid w:val="000F2830"/>
    <w:rsid w:val="000F2E1B"/>
    <w:rsid w:val="000F2F5C"/>
    <w:rsid w:val="000F3365"/>
    <w:rsid w:val="000F36E6"/>
    <w:rsid w:val="000F3C7B"/>
    <w:rsid w:val="000F4B5B"/>
    <w:rsid w:val="000F4C7F"/>
    <w:rsid w:val="000F5432"/>
    <w:rsid w:val="000F54C1"/>
    <w:rsid w:val="000F6401"/>
    <w:rsid w:val="001005F3"/>
    <w:rsid w:val="0010179A"/>
    <w:rsid w:val="0010191C"/>
    <w:rsid w:val="00101FFF"/>
    <w:rsid w:val="001024DE"/>
    <w:rsid w:val="00102E02"/>
    <w:rsid w:val="00102F75"/>
    <w:rsid w:val="00103021"/>
    <w:rsid w:val="00103CAB"/>
    <w:rsid w:val="0010460F"/>
    <w:rsid w:val="001054D5"/>
    <w:rsid w:val="00105904"/>
    <w:rsid w:val="001061F3"/>
    <w:rsid w:val="001062C4"/>
    <w:rsid w:val="00106C43"/>
    <w:rsid w:val="00106EA4"/>
    <w:rsid w:val="00107161"/>
    <w:rsid w:val="0011020F"/>
    <w:rsid w:val="00110A07"/>
    <w:rsid w:val="001114F0"/>
    <w:rsid w:val="00111C84"/>
    <w:rsid w:val="00111C93"/>
    <w:rsid w:val="001127A2"/>
    <w:rsid w:val="00112D20"/>
    <w:rsid w:val="00113F50"/>
    <w:rsid w:val="00114AE4"/>
    <w:rsid w:val="00114D76"/>
    <w:rsid w:val="001152AF"/>
    <w:rsid w:val="001166CD"/>
    <w:rsid w:val="00116805"/>
    <w:rsid w:val="00116CCB"/>
    <w:rsid w:val="00117CC8"/>
    <w:rsid w:val="001204DC"/>
    <w:rsid w:val="0012055E"/>
    <w:rsid w:val="00121198"/>
    <w:rsid w:val="001219FD"/>
    <w:rsid w:val="00121F0F"/>
    <w:rsid w:val="00122664"/>
    <w:rsid w:val="00122A81"/>
    <w:rsid w:val="00122E0B"/>
    <w:rsid w:val="00123B92"/>
    <w:rsid w:val="00124C87"/>
    <w:rsid w:val="001250A7"/>
    <w:rsid w:val="00125807"/>
    <w:rsid w:val="00130030"/>
    <w:rsid w:val="0013043B"/>
    <w:rsid w:val="00130D6C"/>
    <w:rsid w:val="00131CA4"/>
    <w:rsid w:val="001321EE"/>
    <w:rsid w:val="00132ACB"/>
    <w:rsid w:val="00132B40"/>
    <w:rsid w:val="00133394"/>
    <w:rsid w:val="001339A6"/>
    <w:rsid w:val="00134064"/>
    <w:rsid w:val="001347B7"/>
    <w:rsid w:val="00134B05"/>
    <w:rsid w:val="00135002"/>
    <w:rsid w:val="00135102"/>
    <w:rsid w:val="001361ED"/>
    <w:rsid w:val="00136A87"/>
    <w:rsid w:val="0013782A"/>
    <w:rsid w:val="00137C72"/>
    <w:rsid w:val="00137CDC"/>
    <w:rsid w:val="00137F42"/>
    <w:rsid w:val="00140735"/>
    <w:rsid w:val="0014136B"/>
    <w:rsid w:val="00141799"/>
    <w:rsid w:val="00142109"/>
    <w:rsid w:val="00142C0F"/>
    <w:rsid w:val="0014391B"/>
    <w:rsid w:val="00144D6D"/>
    <w:rsid w:val="0014547F"/>
    <w:rsid w:val="001457E2"/>
    <w:rsid w:val="00145E66"/>
    <w:rsid w:val="00145EE1"/>
    <w:rsid w:val="00146813"/>
    <w:rsid w:val="00146D56"/>
    <w:rsid w:val="0014740D"/>
    <w:rsid w:val="0014784F"/>
    <w:rsid w:val="001479AA"/>
    <w:rsid w:val="0015044B"/>
    <w:rsid w:val="001509FC"/>
    <w:rsid w:val="00152A03"/>
    <w:rsid w:val="00153139"/>
    <w:rsid w:val="00153631"/>
    <w:rsid w:val="0015391E"/>
    <w:rsid w:val="001549BA"/>
    <w:rsid w:val="00155D88"/>
    <w:rsid w:val="00156377"/>
    <w:rsid w:val="00156D16"/>
    <w:rsid w:val="00156E66"/>
    <w:rsid w:val="001575BB"/>
    <w:rsid w:val="0015794A"/>
    <w:rsid w:val="00157B71"/>
    <w:rsid w:val="00157B80"/>
    <w:rsid w:val="00157F17"/>
    <w:rsid w:val="0016047A"/>
    <w:rsid w:val="00160BC6"/>
    <w:rsid w:val="00160C5D"/>
    <w:rsid w:val="00160F24"/>
    <w:rsid w:val="001611C8"/>
    <w:rsid w:val="0016127C"/>
    <w:rsid w:val="00161A8D"/>
    <w:rsid w:val="00161D48"/>
    <w:rsid w:val="00161F17"/>
    <w:rsid w:val="00162273"/>
    <w:rsid w:val="00162456"/>
    <w:rsid w:val="00162B5E"/>
    <w:rsid w:val="00162E21"/>
    <w:rsid w:val="00162E25"/>
    <w:rsid w:val="00163AA9"/>
    <w:rsid w:val="00166703"/>
    <w:rsid w:val="00166FE2"/>
    <w:rsid w:val="001672D4"/>
    <w:rsid w:val="00167B5F"/>
    <w:rsid w:val="00167F9A"/>
    <w:rsid w:val="00170E5E"/>
    <w:rsid w:val="00171026"/>
    <w:rsid w:val="0017131E"/>
    <w:rsid w:val="001715FE"/>
    <w:rsid w:val="0017206C"/>
    <w:rsid w:val="00172145"/>
    <w:rsid w:val="00172F7C"/>
    <w:rsid w:val="001736C5"/>
    <w:rsid w:val="0017387D"/>
    <w:rsid w:val="00173ADC"/>
    <w:rsid w:val="00173D83"/>
    <w:rsid w:val="00174D60"/>
    <w:rsid w:val="001750A9"/>
    <w:rsid w:val="001752DA"/>
    <w:rsid w:val="001756AE"/>
    <w:rsid w:val="001756EB"/>
    <w:rsid w:val="00175A4A"/>
    <w:rsid w:val="00175BF2"/>
    <w:rsid w:val="001762F2"/>
    <w:rsid w:val="001765AB"/>
    <w:rsid w:val="0017697E"/>
    <w:rsid w:val="00176A31"/>
    <w:rsid w:val="00176BDB"/>
    <w:rsid w:val="00176F96"/>
    <w:rsid w:val="00177053"/>
    <w:rsid w:val="00177900"/>
    <w:rsid w:val="00177DF0"/>
    <w:rsid w:val="001811F8"/>
    <w:rsid w:val="001812A5"/>
    <w:rsid w:val="00181CEE"/>
    <w:rsid w:val="00181F3C"/>
    <w:rsid w:val="00182096"/>
    <w:rsid w:val="00182FF8"/>
    <w:rsid w:val="00184877"/>
    <w:rsid w:val="00184C07"/>
    <w:rsid w:val="00184DD1"/>
    <w:rsid w:val="001855AE"/>
    <w:rsid w:val="00185825"/>
    <w:rsid w:val="00185907"/>
    <w:rsid w:val="00185A6F"/>
    <w:rsid w:val="00186B8A"/>
    <w:rsid w:val="001871EF"/>
    <w:rsid w:val="0018762F"/>
    <w:rsid w:val="0019015E"/>
    <w:rsid w:val="00190ADD"/>
    <w:rsid w:val="00190F33"/>
    <w:rsid w:val="001914DF"/>
    <w:rsid w:val="00192727"/>
    <w:rsid w:val="00192D9A"/>
    <w:rsid w:val="001937E8"/>
    <w:rsid w:val="001944DF"/>
    <w:rsid w:val="001948B9"/>
    <w:rsid w:val="001955D3"/>
    <w:rsid w:val="00196140"/>
    <w:rsid w:val="001963EC"/>
    <w:rsid w:val="00196A3B"/>
    <w:rsid w:val="001972B3"/>
    <w:rsid w:val="001975AA"/>
    <w:rsid w:val="001A06C1"/>
    <w:rsid w:val="001A0BFE"/>
    <w:rsid w:val="001A157A"/>
    <w:rsid w:val="001A16D4"/>
    <w:rsid w:val="001A1B65"/>
    <w:rsid w:val="001A2D36"/>
    <w:rsid w:val="001A3033"/>
    <w:rsid w:val="001A3A0D"/>
    <w:rsid w:val="001A4279"/>
    <w:rsid w:val="001A4740"/>
    <w:rsid w:val="001A5317"/>
    <w:rsid w:val="001A532C"/>
    <w:rsid w:val="001A54F0"/>
    <w:rsid w:val="001A555D"/>
    <w:rsid w:val="001A577C"/>
    <w:rsid w:val="001A5B61"/>
    <w:rsid w:val="001A62C9"/>
    <w:rsid w:val="001A6530"/>
    <w:rsid w:val="001A65F9"/>
    <w:rsid w:val="001A66B6"/>
    <w:rsid w:val="001A7512"/>
    <w:rsid w:val="001A7A25"/>
    <w:rsid w:val="001A7BB9"/>
    <w:rsid w:val="001A7EB9"/>
    <w:rsid w:val="001B0A3E"/>
    <w:rsid w:val="001B16D3"/>
    <w:rsid w:val="001B1D1C"/>
    <w:rsid w:val="001B1E15"/>
    <w:rsid w:val="001B1F3F"/>
    <w:rsid w:val="001B2622"/>
    <w:rsid w:val="001B28A8"/>
    <w:rsid w:val="001B2CFB"/>
    <w:rsid w:val="001B2EE3"/>
    <w:rsid w:val="001B2F4B"/>
    <w:rsid w:val="001B32FE"/>
    <w:rsid w:val="001B39FA"/>
    <w:rsid w:val="001B428E"/>
    <w:rsid w:val="001B65C0"/>
    <w:rsid w:val="001C012D"/>
    <w:rsid w:val="001C0506"/>
    <w:rsid w:val="001C0676"/>
    <w:rsid w:val="001C080B"/>
    <w:rsid w:val="001C1DCA"/>
    <w:rsid w:val="001C23DB"/>
    <w:rsid w:val="001C26B5"/>
    <w:rsid w:val="001C27E3"/>
    <w:rsid w:val="001C2CD3"/>
    <w:rsid w:val="001C2DE2"/>
    <w:rsid w:val="001C3C20"/>
    <w:rsid w:val="001C4340"/>
    <w:rsid w:val="001C57CF"/>
    <w:rsid w:val="001C5EDC"/>
    <w:rsid w:val="001C6065"/>
    <w:rsid w:val="001C60E5"/>
    <w:rsid w:val="001C62B2"/>
    <w:rsid w:val="001C649B"/>
    <w:rsid w:val="001C6821"/>
    <w:rsid w:val="001C7098"/>
    <w:rsid w:val="001C7D1A"/>
    <w:rsid w:val="001D2326"/>
    <w:rsid w:val="001D2425"/>
    <w:rsid w:val="001D25A8"/>
    <w:rsid w:val="001D2BC0"/>
    <w:rsid w:val="001D30D2"/>
    <w:rsid w:val="001D334D"/>
    <w:rsid w:val="001D3B65"/>
    <w:rsid w:val="001D3DB0"/>
    <w:rsid w:val="001D3DFD"/>
    <w:rsid w:val="001D3EA6"/>
    <w:rsid w:val="001D440C"/>
    <w:rsid w:val="001D4AE3"/>
    <w:rsid w:val="001D4AF0"/>
    <w:rsid w:val="001D6B48"/>
    <w:rsid w:val="001D7568"/>
    <w:rsid w:val="001D7721"/>
    <w:rsid w:val="001E152A"/>
    <w:rsid w:val="001E158D"/>
    <w:rsid w:val="001E1A51"/>
    <w:rsid w:val="001E2367"/>
    <w:rsid w:val="001E25A7"/>
    <w:rsid w:val="001E2661"/>
    <w:rsid w:val="001E2E18"/>
    <w:rsid w:val="001E302F"/>
    <w:rsid w:val="001E30E3"/>
    <w:rsid w:val="001E3954"/>
    <w:rsid w:val="001E3F42"/>
    <w:rsid w:val="001E4177"/>
    <w:rsid w:val="001E549D"/>
    <w:rsid w:val="001E55AA"/>
    <w:rsid w:val="001E5671"/>
    <w:rsid w:val="001E5EA3"/>
    <w:rsid w:val="001E661C"/>
    <w:rsid w:val="001E7091"/>
    <w:rsid w:val="001E761F"/>
    <w:rsid w:val="001E7FB7"/>
    <w:rsid w:val="001F07E4"/>
    <w:rsid w:val="001F0802"/>
    <w:rsid w:val="001F0A4C"/>
    <w:rsid w:val="001F1CEC"/>
    <w:rsid w:val="001F244F"/>
    <w:rsid w:val="001F2D76"/>
    <w:rsid w:val="001F2EC9"/>
    <w:rsid w:val="001F3370"/>
    <w:rsid w:val="001F34A9"/>
    <w:rsid w:val="001F3A59"/>
    <w:rsid w:val="001F3AFC"/>
    <w:rsid w:val="001F4579"/>
    <w:rsid w:val="001F4861"/>
    <w:rsid w:val="001F4C28"/>
    <w:rsid w:val="001F4C80"/>
    <w:rsid w:val="001F4ED2"/>
    <w:rsid w:val="001F52C8"/>
    <w:rsid w:val="001F5520"/>
    <w:rsid w:val="001F68F1"/>
    <w:rsid w:val="001F6E81"/>
    <w:rsid w:val="001F716F"/>
    <w:rsid w:val="001F7636"/>
    <w:rsid w:val="001F7648"/>
    <w:rsid w:val="001F79C9"/>
    <w:rsid w:val="001F7C00"/>
    <w:rsid w:val="0020025D"/>
    <w:rsid w:val="00200F63"/>
    <w:rsid w:val="0020195A"/>
    <w:rsid w:val="00202307"/>
    <w:rsid w:val="00202C97"/>
    <w:rsid w:val="00205AAB"/>
    <w:rsid w:val="00205C33"/>
    <w:rsid w:val="00205EEB"/>
    <w:rsid w:val="00206A49"/>
    <w:rsid w:val="00206E8B"/>
    <w:rsid w:val="0020707F"/>
    <w:rsid w:val="00207092"/>
    <w:rsid w:val="00207D73"/>
    <w:rsid w:val="00210874"/>
    <w:rsid w:val="00211DC5"/>
    <w:rsid w:val="00212A3B"/>
    <w:rsid w:val="00212D40"/>
    <w:rsid w:val="00213594"/>
    <w:rsid w:val="00214D4E"/>
    <w:rsid w:val="00216EE1"/>
    <w:rsid w:val="00217203"/>
    <w:rsid w:val="00217465"/>
    <w:rsid w:val="00217950"/>
    <w:rsid w:val="00217F99"/>
    <w:rsid w:val="002209B2"/>
    <w:rsid w:val="00221682"/>
    <w:rsid w:val="00221721"/>
    <w:rsid w:val="00221D26"/>
    <w:rsid w:val="00222269"/>
    <w:rsid w:val="00222725"/>
    <w:rsid w:val="00222E4F"/>
    <w:rsid w:val="00222EAA"/>
    <w:rsid w:val="0022309A"/>
    <w:rsid w:val="00223896"/>
    <w:rsid w:val="00224012"/>
    <w:rsid w:val="00224C33"/>
    <w:rsid w:val="002269FB"/>
    <w:rsid w:val="00227379"/>
    <w:rsid w:val="002276DE"/>
    <w:rsid w:val="00227865"/>
    <w:rsid w:val="00230E3B"/>
    <w:rsid w:val="00230F71"/>
    <w:rsid w:val="002316DB"/>
    <w:rsid w:val="00232882"/>
    <w:rsid w:val="00232EFE"/>
    <w:rsid w:val="00233043"/>
    <w:rsid w:val="0023350E"/>
    <w:rsid w:val="00233A4C"/>
    <w:rsid w:val="00233DEB"/>
    <w:rsid w:val="00234C1E"/>
    <w:rsid w:val="002350AC"/>
    <w:rsid w:val="002357BB"/>
    <w:rsid w:val="002359E5"/>
    <w:rsid w:val="00235E5F"/>
    <w:rsid w:val="0023613F"/>
    <w:rsid w:val="00236498"/>
    <w:rsid w:val="00236C1A"/>
    <w:rsid w:val="00237273"/>
    <w:rsid w:val="002377E6"/>
    <w:rsid w:val="002412ED"/>
    <w:rsid w:val="002417F6"/>
    <w:rsid w:val="00241AA5"/>
    <w:rsid w:val="00241C8C"/>
    <w:rsid w:val="00242952"/>
    <w:rsid w:val="00242B55"/>
    <w:rsid w:val="00243804"/>
    <w:rsid w:val="00243EEE"/>
    <w:rsid w:val="002444CD"/>
    <w:rsid w:val="00244E22"/>
    <w:rsid w:val="00244FF5"/>
    <w:rsid w:val="00245367"/>
    <w:rsid w:val="002457AC"/>
    <w:rsid w:val="00245E92"/>
    <w:rsid w:val="00245EEC"/>
    <w:rsid w:val="00245F38"/>
    <w:rsid w:val="0024625D"/>
    <w:rsid w:val="00246656"/>
    <w:rsid w:val="00246B30"/>
    <w:rsid w:val="00247454"/>
    <w:rsid w:val="002476A9"/>
    <w:rsid w:val="00247F7A"/>
    <w:rsid w:val="002500E1"/>
    <w:rsid w:val="002511E9"/>
    <w:rsid w:val="002513B9"/>
    <w:rsid w:val="0025142D"/>
    <w:rsid w:val="0025148F"/>
    <w:rsid w:val="002516CA"/>
    <w:rsid w:val="0025209C"/>
    <w:rsid w:val="00252399"/>
    <w:rsid w:val="00252C47"/>
    <w:rsid w:val="00253CD2"/>
    <w:rsid w:val="00253DB6"/>
    <w:rsid w:val="0025475E"/>
    <w:rsid w:val="002548D8"/>
    <w:rsid w:val="00255442"/>
    <w:rsid w:val="002558C4"/>
    <w:rsid w:val="0025590F"/>
    <w:rsid w:val="00255B3E"/>
    <w:rsid w:val="00256466"/>
    <w:rsid w:val="0025685D"/>
    <w:rsid w:val="00257AA1"/>
    <w:rsid w:val="002606FE"/>
    <w:rsid w:val="00261067"/>
    <w:rsid w:val="00261141"/>
    <w:rsid w:val="00261164"/>
    <w:rsid w:val="0026122F"/>
    <w:rsid w:val="002631BF"/>
    <w:rsid w:val="00263589"/>
    <w:rsid w:val="002637C5"/>
    <w:rsid w:val="00263F35"/>
    <w:rsid w:val="002644AD"/>
    <w:rsid w:val="00264A0A"/>
    <w:rsid w:val="00265076"/>
    <w:rsid w:val="002658D9"/>
    <w:rsid w:val="00265927"/>
    <w:rsid w:val="00265CA8"/>
    <w:rsid w:val="00266458"/>
    <w:rsid w:val="00266BA4"/>
    <w:rsid w:val="00267E40"/>
    <w:rsid w:val="00270246"/>
    <w:rsid w:val="00270477"/>
    <w:rsid w:val="0027100F"/>
    <w:rsid w:val="002710DB"/>
    <w:rsid w:val="002712A7"/>
    <w:rsid w:val="0027168B"/>
    <w:rsid w:val="00271BD8"/>
    <w:rsid w:val="00272281"/>
    <w:rsid w:val="0027229E"/>
    <w:rsid w:val="00272C18"/>
    <w:rsid w:val="002730AD"/>
    <w:rsid w:val="002742DC"/>
    <w:rsid w:val="00274571"/>
    <w:rsid w:val="00275306"/>
    <w:rsid w:val="0027550E"/>
    <w:rsid w:val="00276F82"/>
    <w:rsid w:val="0027767C"/>
    <w:rsid w:val="002776AF"/>
    <w:rsid w:val="00277744"/>
    <w:rsid w:val="00277EDA"/>
    <w:rsid w:val="00280028"/>
    <w:rsid w:val="00280287"/>
    <w:rsid w:val="00280FAF"/>
    <w:rsid w:val="00280FF3"/>
    <w:rsid w:val="00281573"/>
    <w:rsid w:val="00281BD3"/>
    <w:rsid w:val="00282F12"/>
    <w:rsid w:val="00283F5A"/>
    <w:rsid w:val="0028419F"/>
    <w:rsid w:val="00284DFE"/>
    <w:rsid w:val="002850DA"/>
    <w:rsid w:val="00285C17"/>
    <w:rsid w:val="00286292"/>
    <w:rsid w:val="002870DD"/>
    <w:rsid w:val="00287C2E"/>
    <w:rsid w:val="002900DF"/>
    <w:rsid w:val="00290B90"/>
    <w:rsid w:val="00290C41"/>
    <w:rsid w:val="0029176E"/>
    <w:rsid w:val="00291E5C"/>
    <w:rsid w:val="00292287"/>
    <w:rsid w:val="0029277C"/>
    <w:rsid w:val="00292CCF"/>
    <w:rsid w:val="00293057"/>
    <w:rsid w:val="00294C88"/>
    <w:rsid w:val="00294FA0"/>
    <w:rsid w:val="00295443"/>
    <w:rsid w:val="00296225"/>
    <w:rsid w:val="002965A0"/>
    <w:rsid w:val="00296681"/>
    <w:rsid w:val="00296A12"/>
    <w:rsid w:val="00296E23"/>
    <w:rsid w:val="00297022"/>
    <w:rsid w:val="00297145"/>
    <w:rsid w:val="002975E5"/>
    <w:rsid w:val="002976A2"/>
    <w:rsid w:val="00297B80"/>
    <w:rsid w:val="00297D56"/>
    <w:rsid w:val="002A00EC"/>
    <w:rsid w:val="002A05BB"/>
    <w:rsid w:val="002A0C84"/>
    <w:rsid w:val="002A17AC"/>
    <w:rsid w:val="002A1B58"/>
    <w:rsid w:val="002A1FBA"/>
    <w:rsid w:val="002A20E7"/>
    <w:rsid w:val="002A2CF6"/>
    <w:rsid w:val="002A2EAC"/>
    <w:rsid w:val="002A3140"/>
    <w:rsid w:val="002A382E"/>
    <w:rsid w:val="002A3B35"/>
    <w:rsid w:val="002A3C46"/>
    <w:rsid w:val="002A4140"/>
    <w:rsid w:val="002A47C9"/>
    <w:rsid w:val="002A4BEB"/>
    <w:rsid w:val="002A5D1F"/>
    <w:rsid w:val="002A62C0"/>
    <w:rsid w:val="002A63D6"/>
    <w:rsid w:val="002A66C1"/>
    <w:rsid w:val="002A69D8"/>
    <w:rsid w:val="002A6D7D"/>
    <w:rsid w:val="002B14CF"/>
    <w:rsid w:val="002B17CE"/>
    <w:rsid w:val="002B1B75"/>
    <w:rsid w:val="002B24B8"/>
    <w:rsid w:val="002B2F51"/>
    <w:rsid w:val="002B3A7B"/>
    <w:rsid w:val="002B3F07"/>
    <w:rsid w:val="002B3FBB"/>
    <w:rsid w:val="002B4C9E"/>
    <w:rsid w:val="002B4E23"/>
    <w:rsid w:val="002B5411"/>
    <w:rsid w:val="002B5459"/>
    <w:rsid w:val="002B56AF"/>
    <w:rsid w:val="002B5B79"/>
    <w:rsid w:val="002B6EF9"/>
    <w:rsid w:val="002B7584"/>
    <w:rsid w:val="002B7C9D"/>
    <w:rsid w:val="002C0434"/>
    <w:rsid w:val="002C093F"/>
    <w:rsid w:val="002C0D31"/>
    <w:rsid w:val="002C137A"/>
    <w:rsid w:val="002C163F"/>
    <w:rsid w:val="002C3145"/>
    <w:rsid w:val="002C31E5"/>
    <w:rsid w:val="002C32D9"/>
    <w:rsid w:val="002C392E"/>
    <w:rsid w:val="002C3B27"/>
    <w:rsid w:val="002C4270"/>
    <w:rsid w:val="002C4422"/>
    <w:rsid w:val="002C4822"/>
    <w:rsid w:val="002C4AC8"/>
    <w:rsid w:val="002C4B28"/>
    <w:rsid w:val="002C4FA0"/>
    <w:rsid w:val="002C503C"/>
    <w:rsid w:val="002C516B"/>
    <w:rsid w:val="002C537D"/>
    <w:rsid w:val="002C5984"/>
    <w:rsid w:val="002C5A03"/>
    <w:rsid w:val="002C5C8D"/>
    <w:rsid w:val="002C5DED"/>
    <w:rsid w:val="002C60C2"/>
    <w:rsid w:val="002C6239"/>
    <w:rsid w:val="002C644C"/>
    <w:rsid w:val="002C715B"/>
    <w:rsid w:val="002C7337"/>
    <w:rsid w:val="002C74D3"/>
    <w:rsid w:val="002C7FD2"/>
    <w:rsid w:val="002D0111"/>
    <w:rsid w:val="002D0329"/>
    <w:rsid w:val="002D1161"/>
    <w:rsid w:val="002D12D5"/>
    <w:rsid w:val="002D18A4"/>
    <w:rsid w:val="002D1C3B"/>
    <w:rsid w:val="002D3101"/>
    <w:rsid w:val="002D357A"/>
    <w:rsid w:val="002D39A4"/>
    <w:rsid w:val="002D400D"/>
    <w:rsid w:val="002D583B"/>
    <w:rsid w:val="002D5A8A"/>
    <w:rsid w:val="002D5E78"/>
    <w:rsid w:val="002D5F17"/>
    <w:rsid w:val="002D637B"/>
    <w:rsid w:val="002D67D1"/>
    <w:rsid w:val="002E0A6A"/>
    <w:rsid w:val="002E3033"/>
    <w:rsid w:val="002E3AD5"/>
    <w:rsid w:val="002E3DCF"/>
    <w:rsid w:val="002E44DE"/>
    <w:rsid w:val="002E515C"/>
    <w:rsid w:val="002E68AC"/>
    <w:rsid w:val="002E6A76"/>
    <w:rsid w:val="002E7CBD"/>
    <w:rsid w:val="002F0CE2"/>
    <w:rsid w:val="002F139F"/>
    <w:rsid w:val="002F1515"/>
    <w:rsid w:val="002F1ABB"/>
    <w:rsid w:val="002F207D"/>
    <w:rsid w:val="002F218E"/>
    <w:rsid w:val="002F339E"/>
    <w:rsid w:val="002F4D7A"/>
    <w:rsid w:val="002F597C"/>
    <w:rsid w:val="002F5BF4"/>
    <w:rsid w:val="002F6057"/>
    <w:rsid w:val="002F7511"/>
    <w:rsid w:val="002F77B2"/>
    <w:rsid w:val="003000CC"/>
    <w:rsid w:val="00300675"/>
    <w:rsid w:val="003007BC"/>
    <w:rsid w:val="00300A8F"/>
    <w:rsid w:val="00300DC2"/>
    <w:rsid w:val="00300EDF"/>
    <w:rsid w:val="00301112"/>
    <w:rsid w:val="0030111E"/>
    <w:rsid w:val="00302204"/>
    <w:rsid w:val="00302504"/>
    <w:rsid w:val="003027F1"/>
    <w:rsid w:val="003031DE"/>
    <w:rsid w:val="003034CA"/>
    <w:rsid w:val="003035DD"/>
    <w:rsid w:val="00303807"/>
    <w:rsid w:val="0030383B"/>
    <w:rsid w:val="0030395A"/>
    <w:rsid w:val="003047F5"/>
    <w:rsid w:val="00304A15"/>
    <w:rsid w:val="003055A5"/>
    <w:rsid w:val="00305B04"/>
    <w:rsid w:val="00306B9B"/>
    <w:rsid w:val="00307B0C"/>
    <w:rsid w:val="00307F5F"/>
    <w:rsid w:val="00310156"/>
    <w:rsid w:val="0031087D"/>
    <w:rsid w:val="0031089C"/>
    <w:rsid w:val="003108AA"/>
    <w:rsid w:val="00311846"/>
    <w:rsid w:val="003118A2"/>
    <w:rsid w:val="00311932"/>
    <w:rsid w:val="00311B2D"/>
    <w:rsid w:val="0031294D"/>
    <w:rsid w:val="00312AFB"/>
    <w:rsid w:val="0031406B"/>
    <w:rsid w:val="0031422D"/>
    <w:rsid w:val="003146C4"/>
    <w:rsid w:val="003159E2"/>
    <w:rsid w:val="0031648D"/>
    <w:rsid w:val="003175B6"/>
    <w:rsid w:val="00317A4A"/>
    <w:rsid w:val="00320085"/>
    <w:rsid w:val="003202FD"/>
    <w:rsid w:val="003207ED"/>
    <w:rsid w:val="00320D3C"/>
    <w:rsid w:val="00320EAF"/>
    <w:rsid w:val="00323560"/>
    <w:rsid w:val="00323EC4"/>
    <w:rsid w:val="003240EB"/>
    <w:rsid w:val="00324125"/>
    <w:rsid w:val="00324A52"/>
    <w:rsid w:val="00324B02"/>
    <w:rsid w:val="00324DAE"/>
    <w:rsid w:val="0032537B"/>
    <w:rsid w:val="00325945"/>
    <w:rsid w:val="0032610E"/>
    <w:rsid w:val="00326B5D"/>
    <w:rsid w:val="0032753F"/>
    <w:rsid w:val="003308FE"/>
    <w:rsid w:val="00331508"/>
    <w:rsid w:val="0033176D"/>
    <w:rsid w:val="00331986"/>
    <w:rsid w:val="00331E3A"/>
    <w:rsid w:val="003327BB"/>
    <w:rsid w:val="00332824"/>
    <w:rsid w:val="003331E7"/>
    <w:rsid w:val="0033337C"/>
    <w:rsid w:val="00333ED9"/>
    <w:rsid w:val="003341E2"/>
    <w:rsid w:val="0033458E"/>
    <w:rsid w:val="00334766"/>
    <w:rsid w:val="003347AD"/>
    <w:rsid w:val="00334D03"/>
    <w:rsid w:val="00335D16"/>
    <w:rsid w:val="00335E69"/>
    <w:rsid w:val="00336270"/>
    <w:rsid w:val="003367D1"/>
    <w:rsid w:val="00336D21"/>
    <w:rsid w:val="00337B44"/>
    <w:rsid w:val="00337E8D"/>
    <w:rsid w:val="003404F9"/>
    <w:rsid w:val="00340FD3"/>
    <w:rsid w:val="00341063"/>
    <w:rsid w:val="00341065"/>
    <w:rsid w:val="0034120A"/>
    <w:rsid w:val="00341564"/>
    <w:rsid w:val="00341788"/>
    <w:rsid w:val="003419EB"/>
    <w:rsid w:val="00341A63"/>
    <w:rsid w:val="00341CF1"/>
    <w:rsid w:val="0034200E"/>
    <w:rsid w:val="0034310F"/>
    <w:rsid w:val="00343A40"/>
    <w:rsid w:val="0034482F"/>
    <w:rsid w:val="00344B9F"/>
    <w:rsid w:val="00345205"/>
    <w:rsid w:val="00345DC8"/>
    <w:rsid w:val="00345F59"/>
    <w:rsid w:val="003474B5"/>
    <w:rsid w:val="00347568"/>
    <w:rsid w:val="00347CFA"/>
    <w:rsid w:val="00347D04"/>
    <w:rsid w:val="00347D2D"/>
    <w:rsid w:val="00347D64"/>
    <w:rsid w:val="00347F0A"/>
    <w:rsid w:val="0035016B"/>
    <w:rsid w:val="003503A0"/>
    <w:rsid w:val="00350410"/>
    <w:rsid w:val="00350B4D"/>
    <w:rsid w:val="00350E7B"/>
    <w:rsid w:val="00351076"/>
    <w:rsid w:val="00351963"/>
    <w:rsid w:val="00351BBC"/>
    <w:rsid w:val="00351C7A"/>
    <w:rsid w:val="003522EC"/>
    <w:rsid w:val="0035271E"/>
    <w:rsid w:val="003531A6"/>
    <w:rsid w:val="003533A7"/>
    <w:rsid w:val="0035368B"/>
    <w:rsid w:val="00353EEE"/>
    <w:rsid w:val="003556AE"/>
    <w:rsid w:val="00355945"/>
    <w:rsid w:val="00356A3D"/>
    <w:rsid w:val="00357A44"/>
    <w:rsid w:val="00357A76"/>
    <w:rsid w:val="00357FF0"/>
    <w:rsid w:val="00360694"/>
    <w:rsid w:val="0036069C"/>
    <w:rsid w:val="00360825"/>
    <w:rsid w:val="00360CB3"/>
    <w:rsid w:val="0036122A"/>
    <w:rsid w:val="003616DF"/>
    <w:rsid w:val="00361A86"/>
    <w:rsid w:val="00361ED3"/>
    <w:rsid w:val="00363BDA"/>
    <w:rsid w:val="0036424B"/>
    <w:rsid w:val="003642C4"/>
    <w:rsid w:val="00364AFF"/>
    <w:rsid w:val="003652F9"/>
    <w:rsid w:val="0036579C"/>
    <w:rsid w:val="00365D7A"/>
    <w:rsid w:val="00365DF3"/>
    <w:rsid w:val="00366618"/>
    <w:rsid w:val="003667DF"/>
    <w:rsid w:val="00366A6E"/>
    <w:rsid w:val="00366BFA"/>
    <w:rsid w:val="00367880"/>
    <w:rsid w:val="00367B6B"/>
    <w:rsid w:val="00370756"/>
    <w:rsid w:val="00370B56"/>
    <w:rsid w:val="00370FFB"/>
    <w:rsid w:val="003710A6"/>
    <w:rsid w:val="0037125A"/>
    <w:rsid w:val="003722E8"/>
    <w:rsid w:val="0037271D"/>
    <w:rsid w:val="00372C62"/>
    <w:rsid w:val="00373F7B"/>
    <w:rsid w:val="00373F9D"/>
    <w:rsid w:val="003746AA"/>
    <w:rsid w:val="00374FF2"/>
    <w:rsid w:val="00375212"/>
    <w:rsid w:val="003766E4"/>
    <w:rsid w:val="00377475"/>
    <w:rsid w:val="0038184A"/>
    <w:rsid w:val="00381EAA"/>
    <w:rsid w:val="003824DA"/>
    <w:rsid w:val="00382634"/>
    <w:rsid w:val="00383378"/>
    <w:rsid w:val="00383801"/>
    <w:rsid w:val="0038530D"/>
    <w:rsid w:val="00385CE8"/>
    <w:rsid w:val="00385E5E"/>
    <w:rsid w:val="003860BB"/>
    <w:rsid w:val="003861FC"/>
    <w:rsid w:val="0038723C"/>
    <w:rsid w:val="0039023A"/>
    <w:rsid w:val="00390548"/>
    <w:rsid w:val="00390BB5"/>
    <w:rsid w:val="00391549"/>
    <w:rsid w:val="00393166"/>
    <w:rsid w:val="00393FE2"/>
    <w:rsid w:val="00394A88"/>
    <w:rsid w:val="00395040"/>
    <w:rsid w:val="00396235"/>
    <w:rsid w:val="003968C2"/>
    <w:rsid w:val="00396983"/>
    <w:rsid w:val="0039732A"/>
    <w:rsid w:val="003973C3"/>
    <w:rsid w:val="00397841"/>
    <w:rsid w:val="00397B69"/>
    <w:rsid w:val="003A0066"/>
    <w:rsid w:val="003A04EA"/>
    <w:rsid w:val="003A0872"/>
    <w:rsid w:val="003A0B07"/>
    <w:rsid w:val="003A155D"/>
    <w:rsid w:val="003A1579"/>
    <w:rsid w:val="003A172D"/>
    <w:rsid w:val="003A1E3A"/>
    <w:rsid w:val="003A22D2"/>
    <w:rsid w:val="003A2343"/>
    <w:rsid w:val="003A24C5"/>
    <w:rsid w:val="003A2A65"/>
    <w:rsid w:val="003A3E4B"/>
    <w:rsid w:val="003A41E6"/>
    <w:rsid w:val="003A459F"/>
    <w:rsid w:val="003A47B0"/>
    <w:rsid w:val="003A4B5D"/>
    <w:rsid w:val="003A5B81"/>
    <w:rsid w:val="003A65F9"/>
    <w:rsid w:val="003A6C7A"/>
    <w:rsid w:val="003A6D25"/>
    <w:rsid w:val="003A749A"/>
    <w:rsid w:val="003A79D3"/>
    <w:rsid w:val="003B10BA"/>
    <w:rsid w:val="003B14EF"/>
    <w:rsid w:val="003B25BC"/>
    <w:rsid w:val="003B30CA"/>
    <w:rsid w:val="003B3378"/>
    <w:rsid w:val="003B4357"/>
    <w:rsid w:val="003B441E"/>
    <w:rsid w:val="003B452E"/>
    <w:rsid w:val="003B4BAD"/>
    <w:rsid w:val="003B541B"/>
    <w:rsid w:val="003B5D57"/>
    <w:rsid w:val="003B6502"/>
    <w:rsid w:val="003B6620"/>
    <w:rsid w:val="003C0088"/>
    <w:rsid w:val="003C00AE"/>
    <w:rsid w:val="003C0457"/>
    <w:rsid w:val="003C04F1"/>
    <w:rsid w:val="003C1408"/>
    <w:rsid w:val="003C17A3"/>
    <w:rsid w:val="003C1BB0"/>
    <w:rsid w:val="003C1D4D"/>
    <w:rsid w:val="003C2029"/>
    <w:rsid w:val="003C22AD"/>
    <w:rsid w:val="003C2903"/>
    <w:rsid w:val="003C2A1E"/>
    <w:rsid w:val="003C2CF1"/>
    <w:rsid w:val="003C3489"/>
    <w:rsid w:val="003C4270"/>
    <w:rsid w:val="003C4593"/>
    <w:rsid w:val="003C5071"/>
    <w:rsid w:val="003C5F79"/>
    <w:rsid w:val="003C6264"/>
    <w:rsid w:val="003C630A"/>
    <w:rsid w:val="003C65AC"/>
    <w:rsid w:val="003C67C3"/>
    <w:rsid w:val="003C6CBF"/>
    <w:rsid w:val="003C7970"/>
    <w:rsid w:val="003D1172"/>
    <w:rsid w:val="003D1748"/>
    <w:rsid w:val="003D1994"/>
    <w:rsid w:val="003D2CC3"/>
    <w:rsid w:val="003D2EDD"/>
    <w:rsid w:val="003D339E"/>
    <w:rsid w:val="003D370D"/>
    <w:rsid w:val="003D3E5B"/>
    <w:rsid w:val="003D3F21"/>
    <w:rsid w:val="003D3F63"/>
    <w:rsid w:val="003D438B"/>
    <w:rsid w:val="003D49DE"/>
    <w:rsid w:val="003D5EF1"/>
    <w:rsid w:val="003D6E54"/>
    <w:rsid w:val="003D7523"/>
    <w:rsid w:val="003E060B"/>
    <w:rsid w:val="003E0B96"/>
    <w:rsid w:val="003E1904"/>
    <w:rsid w:val="003E30B0"/>
    <w:rsid w:val="003E328C"/>
    <w:rsid w:val="003E3C46"/>
    <w:rsid w:val="003E4128"/>
    <w:rsid w:val="003E4939"/>
    <w:rsid w:val="003E4BAC"/>
    <w:rsid w:val="003E4C43"/>
    <w:rsid w:val="003E5499"/>
    <w:rsid w:val="003E62C3"/>
    <w:rsid w:val="003E6904"/>
    <w:rsid w:val="003E6A7A"/>
    <w:rsid w:val="003E6BC1"/>
    <w:rsid w:val="003E7218"/>
    <w:rsid w:val="003E77F5"/>
    <w:rsid w:val="003E787B"/>
    <w:rsid w:val="003F02E7"/>
    <w:rsid w:val="003F0875"/>
    <w:rsid w:val="003F1084"/>
    <w:rsid w:val="003F11C2"/>
    <w:rsid w:val="003F13D2"/>
    <w:rsid w:val="003F178A"/>
    <w:rsid w:val="003F1C2E"/>
    <w:rsid w:val="003F27F0"/>
    <w:rsid w:val="003F289B"/>
    <w:rsid w:val="003F299D"/>
    <w:rsid w:val="003F2BC0"/>
    <w:rsid w:val="003F2D62"/>
    <w:rsid w:val="003F3278"/>
    <w:rsid w:val="003F38FA"/>
    <w:rsid w:val="003F47F3"/>
    <w:rsid w:val="003F5267"/>
    <w:rsid w:val="003F5433"/>
    <w:rsid w:val="003F5A6C"/>
    <w:rsid w:val="003F5EA6"/>
    <w:rsid w:val="003F682E"/>
    <w:rsid w:val="003F688A"/>
    <w:rsid w:val="00400020"/>
    <w:rsid w:val="00400ADE"/>
    <w:rsid w:val="00401603"/>
    <w:rsid w:val="00401854"/>
    <w:rsid w:val="00401925"/>
    <w:rsid w:val="00401A37"/>
    <w:rsid w:val="00402375"/>
    <w:rsid w:val="0040244B"/>
    <w:rsid w:val="00402B5C"/>
    <w:rsid w:val="00403B37"/>
    <w:rsid w:val="00403C98"/>
    <w:rsid w:val="004044F0"/>
    <w:rsid w:val="004046B6"/>
    <w:rsid w:val="004047CC"/>
    <w:rsid w:val="00404B2B"/>
    <w:rsid w:val="00404EE1"/>
    <w:rsid w:val="0040557A"/>
    <w:rsid w:val="00405DF8"/>
    <w:rsid w:val="004065F4"/>
    <w:rsid w:val="0040675D"/>
    <w:rsid w:val="00407CAB"/>
    <w:rsid w:val="00410A5C"/>
    <w:rsid w:val="00410CB3"/>
    <w:rsid w:val="00410CBA"/>
    <w:rsid w:val="00411366"/>
    <w:rsid w:val="00411778"/>
    <w:rsid w:val="00411DCB"/>
    <w:rsid w:val="00412406"/>
    <w:rsid w:val="004129C3"/>
    <w:rsid w:val="00412C18"/>
    <w:rsid w:val="00414026"/>
    <w:rsid w:val="00414742"/>
    <w:rsid w:val="0041498E"/>
    <w:rsid w:val="00414B28"/>
    <w:rsid w:val="00415191"/>
    <w:rsid w:val="00415247"/>
    <w:rsid w:val="00415284"/>
    <w:rsid w:val="00415433"/>
    <w:rsid w:val="00415930"/>
    <w:rsid w:val="00415D42"/>
    <w:rsid w:val="004160A8"/>
    <w:rsid w:val="004167F2"/>
    <w:rsid w:val="00416D19"/>
    <w:rsid w:val="00416DF7"/>
    <w:rsid w:val="004176EA"/>
    <w:rsid w:val="00417785"/>
    <w:rsid w:val="004177A4"/>
    <w:rsid w:val="004177FD"/>
    <w:rsid w:val="00417AD3"/>
    <w:rsid w:val="00420098"/>
    <w:rsid w:val="004200F8"/>
    <w:rsid w:val="004205D0"/>
    <w:rsid w:val="00420669"/>
    <w:rsid w:val="00420771"/>
    <w:rsid w:val="004209D3"/>
    <w:rsid w:val="0042247E"/>
    <w:rsid w:val="0042252E"/>
    <w:rsid w:val="00422AB9"/>
    <w:rsid w:val="00422E40"/>
    <w:rsid w:val="00423608"/>
    <w:rsid w:val="00423A3D"/>
    <w:rsid w:val="004255B1"/>
    <w:rsid w:val="00425AA2"/>
    <w:rsid w:val="004262F2"/>
    <w:rsid w:val="00426A90"/>
    <w:rsid w:val="00426C38"/>
    <w:rsid w:val="00427D73"/>
    <w:rsid w:val="00430068"/>
    <w:rsid w:val="0043011A"/>
    <w:rsid w:val="00430137"/>
    <w:rsid w:val="00431DD1"/>
    <w:rsid w:val="00431FA3"/>
    <w:rsid w:val="00432B5F"/>
    <w:rsid w:val="004332FF"/>
    <w:rsid w:val="004335F0"/>
    <w:rsid w:val="00434B2D"/>
    <w:rsid w:val="0043592E"/>
    <w:rsid w:val="00436188"/>
    <w:rsid w:val="004369E5"/>
    <w:rsid w:val="004371AF"/>
    <w:rsid w:val="00437650"/>
    <w:rsid w:val="00437F10"/>
    <w:rsid w:val="00440C55"/>
    <w:rsid w:val="00441AAA"/>
    <w:rsid w:val="00444EE3"/>
    <w:rsid w:val="00445EAB"/>
    <w:rsid w:val="00446EFB"/>
    <w:rsid w:val="00447963"/>
    <w:rsid w:val="0045084A"/>
    <w:rsid w:val="00450950"/>
    <w:rsid w:val="004512C3"/>
    <w:rsid w:val="00451AD9"/>
    <w:rsid w:val="00452420"/>
    <w:rsid w:val="00452718"/>
    <w:rsid w:val="00452F46"/>
    <w:rsid w:val="0045301E"/>
    <w:rsid w:val="00454521"/>
    <w:rsid w:val="00454B67"/>
    <w:rsid w:val="00455054"/>
    <w:rsid w:val="0045512F"/>
    <w:rsid w:val="00455247"/>
    <w:rsid w:val="004559A0"/>
    <w:rsid w:val="00455B01"/>
    <w:rsid w:val="00455EFF"/>
    <w:rsid w:val="0045641B"/>
    <w:rsid w:val="00456B73"/>
    <w:rsid w:val="00456E5D"/>
    <w:rsid w:val="00457D5A"/>
    <w:rsid w:val="0046070A"/>
    <w:rsid w:val="00460903"/>
    <w:rsid w:val="00460E64"/>
    <w:rsid w:val="0046169F"/>
    <w:rsid w:val="00462F7C"/>
    <w:rsid w:val="004639A8"/>
    <w:rsid w:val="00463A7C"/>
    <w:rsid w:val="00463C35"/>
    <w:rsid w:val="00463D8F"/>
    <w:rsid w:val="00465827"/>
    <w:rsid w:val="004658BC"/>
    <w:rsid w:val="004658D9"/>
    <w:rsid w:val="00465A5B"/>
    <w:rsid w:val="004668A0"/>
    <w:rsid w:val="00467F4C"/>
    <w:rsid w:val="00470E0E"/>
    <w:rsid w:val="00470F29"/>
    <w:rsid w:val="00471D2F"/>
    <w:rsid w:val="00471FC6"/>
    <w:rsid w:val="00472116"/>
    <w:rsid w:val="0047227D"/>
    <w:rsid w:val="00472861"/>
    <w:rsid w:val="00472B0D"/>
    <w:rsid w:val="004736A7"/>
    <w:rsid w:val="004739E0"/>
    <w:rsid w:val="00473E33"/>
    <w:rsid w:val="0047459C"/>
    <w:rsid w:val="00474839"/>
    <w:rsid w:val="00474C15"/>
    <w:rsid w:val="00475020"/>
    <w:rsid w:val="004758E9"/>
    <w:rsid w:val="004768FD"/>
    <w:rsid w:val="00476D36"/>
    <w:rsid w:val="00476E62"/>
    <w:rsid w:val="00476F43"/>
    <w:rsid w:val="00480457"/>
    <w:rsid w:val="00481E7A"/>
    <w:rsid w:val="00481FFF"/>
    <w:rsid w:val="0048218D"/>
    <w:rsid w:val="00482AFA"/>
    <w:rsid w:val="00482B0A"/>
    <w:rsid w:val="004837F2"/>
    <w:rsid w:val="004843A5"/>
    <w:rsid w:val="0048450E"/>
    <w:rsid w:val="00484CD8"/>
    <w:rsid w:val="00484D05"/>
    <w:rsid w:val="00485041"/>
    <w:rsid w:val="0048517B"/>
    <w:rsid w:val="004856AE"/>
    <w:rsid w:val="004860B1"/>
    <w:rsid w:val="004862A7"/>
    <w:rsid w:val="00486520"/>
    <w:rsid w:val="00486AF3"/>
    <w:rsid w:val="00487834"/>
    <w:rsid w:val="00487F13"/>
    <w:rsid w:val="00490335"/>
    <w:rsid w:val="00490428"/>
    <w:rsid w:val="004914FC"/>
    <w:rsid w:val="00491844"/>
    <w:rsid w:val="00491956"/>
    <w:rsid w:val="00491A01"/>
    <w:rsid w:val="00491AF3"/>
    <w:rsid w:val="00491EF4"/>
    <w:rsid w:val="00492499"/>
    <w:rsid w:val="00492543"/>
    <w:rsid w:val="0049397E"/>
    <w:rsid w:val="0049441C"/>
    <w:rsid w:val="00494C4D"/>
    <w:rsid w:val="00494F6A"/>
    <w:rsid w:val="0049518A"/>
    <w:rsid w:val="00496745"/>
    <w:rsid w:val="004977F1"/>
    <w:rsid w:val="00497ECB"/>
    <w:rsid w:val="004A09F7"/>
    <w:rsid w:val="004A0BFF"/>
    <w:rsid w:val="004A11CE"/>
    <w:rsid w:val="004A1257"/>
    <w:rsid w:val="004A25B3"/>
    <w:rsid w:val="004A27CD"/>
    <w:rsid w:val="004A294C"/>
    <w:rsid w:val="004A31FE"/>
    <w:rsid w:val="004A3538"/>
    <w:rsid w:val="004A3873"/>
    <w:rsid w:val="004A48E4"/>
    <w:rsid w:val="004A4A66"/>
    <w:rsid w:val="004A4C71"/>
    <w:rsid w:val="004A5172"/>
    <w:rsid w:val="004A5999"/>
    <w:rsid w:val="004A59B3"/>
    <w:rsid w:val="004A68F3"/>
    <w:rsid w:val="004A6A00"/>
    <w:rsid w:val="004A6FAE"/>
    <w:rsid w:val="004A7B51"/>
    <w:rsid w:val="004A7EB5"/>
    <w:rsid w:val="004B0E39"/>
    <w:rsid w:val="004B0F95"/>
    <w:rsid w:val="004B1A00"/>
    <w:rsid w:val="004B23F5"/>
    <w:rsid w:val="004B2CF7"/>
    <w:rsid w:val="004B300C"/>
    <w:rsid w:val="004B39EB"/>
    <w:rsid w:val="004B4DFB"/>
    <w:rsid w:val="004B4EE3"/>
    <w:rsid w:val="004B50E2"/>
    <w:rsid w:val="004B527A"/>
    <w:rsid w:val="004B7905"/>
    <w:rsid w:val="004B7D54"/>
    <w:rsid w:val="004C0251"/>
    <w:rsid w:val="004C2B07"/>
    <w:rsid w:val="004C2BA4"/>
    <w:rsid w:val="004C30AE"/>
    <w:rsid w:val="004C31AF"/>
    <w:rsid w:val="004C33CD"/>
    <w:rsid w:val="004C38A8"/>
    <w:rsid w:val="004C4071"/>
    <w:rsid w:val="004C422A"/>
    <w:rsid w:val="004C4D7D"/>
    <w:rsid w:val="004C521B"/>
    <w:rsid w:val="004C5B1E"/>
    <w:rsid w:val="004C6A2B"/>
    <w:rsid w:val="004C6F6C"/>
    <w:rsid w:val="004C7244"/>
    <w:rsid w:val="004D01E4"/>
    <w:rsid w:val="004D03DE"/>
    <w:rsid w:val="004D13D9"/>
    <w:rsid w:val="004D296A"/>
    <w:rsid w:val="004D3002"/>
    <w:rsid w:val="004D36F3"/>
    <w:rsid w:val="004D37E3"/>
    <w:rsid w:val="004D42C1"/>
    <w:rsid w:val="004D4CE5"/>
    <w:rsid w:val="004D5802"/>
    <w:rsid w:val="004D5853"/>
    <w:rsid w:val="004D6035"/>
    <w:rsid w:val="004D6A3B"/>
    <w:rsid w:val="004D722B"/>
    <w:rsid w:val="004D75BF"/>
    <w:rsid w:val="004D7760"/>
    <w:rsid w:val="004D7F99"/>
    <w:rsid w:val="004E0158"/>
    <w:rsid w:val="004E069E"/>
    <w:rsid w:val="004E0872"/>
    <w:rsid w:val="004E0FE1"/>
    <w:rsid w:val="004E0FE2"/>
    <w:rsid w:val="004E1856"/>
    <w:rsid w:val="004E333B"/>
    <w:rsid w:val="004E4120"/>
    <w:rsid w:val="004E43D3"/>
    <w:rsid w:val="004E4540"/>
    <w:rsid w:val="004E5A39"/>
    <w:rsid w:val="004E5C0F"/>
    <w:rsid w:val="004E63B7"/>
    <w:rsid w:val="004E6751"/>
    <w:rsid w:val="004E70AD"/>
    <w:rsid w:val="004E7510"/>
    <w:rsid w:val="004F0D90"/>
    <w:rsid w:val="004F1CC8"/>
    <w:rsid w:val="004F239A"/>
    <w:rsid w:val="004F3A8C"/>
    <w:rsid w:val="004F3FA7"/>
    <w:rsid w:val="004F5473"/>
    <w:rsid w:val="004F5512"/>
    <w:rsid w:val="004F6DA5"/>
    <w:rsid w:val="004F7D38"/>
    <w:rsid w:val="004F7EDE"/>
    <w:rsid w:val="004F7F8F"/>
    <w:rsid w:val="00500A8E"/>
    <w:rsid w:val="00502152"/>
    <w:rsid w:val="0050226D"/>
    <w:rsid w:val="00502830"/>
    <w:rsid w:val="00503185"/>
    <w:rsid w:val="0050546F"/>
    <w:rsid w:val="005056FE"/>
    <w:rsid w:val="00506108"/>
    <w:rsid w:val="00506265"/>
    <w:rsid w:val="00506481"/>
    <w:rsid w:val="005071A4"/>
    <w:rsid w:val="005071CA"/>
    <w:rsid w:val="00507DD8"/>
    <w:rsid w:val="00507FA4"/>
    <w:rsid w:val="00510021"/>
    <w:rsid w:val="005101A0"/>
    <w:rsid w:val="00510426"/>
    <w:rsid w:val="0051047E"/>
    <w:rsid w:val="005112D8"/>
    <w:rsid w:val="00511BBB"/>
    <w:rsid w:val="00511CCE"/>
    <w:rsid w:val="005121C4"/>
    <w:rsid w:val="005123EC"/>
    <w:rsid w:val="00513BCA"/>
    <w:rsid w:val="00514B9B"/>
    <w:rsid w:val="0051599A"/>
    <w:rsid w:val="00515C0E"/>
    <w:rsid w:val="005169F7"/>
    <w:rsid w:val="00517ABC"/>
    <w:rsid w:val="0052003D"/>
    <w:rsid w:val="00520054"/>
    <w:rsid w:val="00520C5A"/>
    <w:rsid w:val="00521593"/>
    <w:rsid w:val="005226A5"/>
    <w:rsid w:val="00523D28"/>
    <w:rsid w:val="00523EB8"/>
    <w:rsid w:val="00524169"/>
    <w:rsid w:val="00524875"/>
    <w:rsid w:val="005250DB"/>
    <w:rsid w:val="00525808"/>
    <w:rsid w:val="00525AAC"/>
    <w:rsid w:val="00525BE0"/>
    <w:rsid w:val="00527026"/>
    <w:rsid w:val="00527357"/>
    <w:rsid w:val="005277F7"/>
    <w:rsid w:val="0053004E"/>
    <w:rsid w:val="005306C3"/>
    <w:rsid w:val="005307CA"/>
    <w:rsid w:val="00530A58"/>
    <w:rsid w:val="00530E93"/>
    <w:rsid w:val="00530EEA"/>
    <w:rsid w:val="0053156E"/>
    <w:rsid w:val="00531A10"/>
    <w:rsid w:val="00532407"/>
    <w:rsid w:val="005326E5"/>
    <w:rsid w:val="00532C68"/>
    <w:rsid w:val="00533AE3"/>
    <w:rsid w:val="00533ECE"/>
    <w:rsid w:val="005343B2"/>
    <w:rsid w:val="005344EC"/>
    <w:rsid w:val="0053488E"/>
    <w:rsid w:val="00534CC3"/>
    <w:rsid w:val="005351EC"/>
    <w:rsid w:val="005352B2"/>
    <w:rsid w:val="00535D78"/>
    <w:rsid w:val="005361FB"/>
    <w:rsid w:val="00536272"/>
    <w:rsid w:val="00536774"/>
    <w:rsid w:val="00536D0D"/>
    <w:rsid w:val="0053725E"/>
    <w:rsid w:val="005376C3"/>
    <w:rsid w:val="00537759"/>
    <w:rsid w:val="0053786D"/>
    <w:rsid w:val="005414C6"/>
    <w:rsid w:val="005416C3"/>
    <w:rsid w:val="005417B2"/>
    <w:rsid w:val="005421E4"/>
    <w:rsid w:val="0054232F"/>
    <w:rsid w:val="0054236B"/>
    <w:rsid w:val="005429F0"/>
    <w:rsid w:val="00543C89"/>
    <w:rsid w:val="0054416D"/>
    <w:rsid w:val="00544FAD"/>
    <w:rsid w:val="00545292"/>
    <w:rsid w:val="00545696"/>
    <w:rsid w:val="00546853"/>
    <w:rsid w:val="00550C25"/>
    <w:rsid w:val="00550D56"/>
    <w:rsid w:val="00550F9E"/>
    <w:rsid w:val="0055173A"/>
    <w:rsid w:val="00551C04"/>
    <w:rsid w:val="00551CF7"/>
    <w:rsid w:val="00551DF1"/>
    <w:rsid w:val="005531FC"/>
    <w:rsid w:val="00553DAB"/>
    <w:rsid w:val="00553ECC"/>
    <w:rsid w:val="00554160"/>
    <w:rsid w:val="0055426F"/>
    <w:rsid w:val="00555B74"/>
    <w:rsid w:val="00555D19"/>
    <w:rsid w:val="00555F9D"/>
    <w:rsid w:val="005560BB"/>
    <w:rsid w:val="00557FAE"/>
    <w:rsid w:val="005608C3"/>
    <w:rsid w:val="00560AF9"/>
    <w:rsid w:val="0056185A"/>
    <w:rsid w:val="00561B68"/>
    <w:rsid w:val="0056239C"/>
    <w:rsid w:val="0056252A"/>
    <w:rsid w:val="005625DD"/>
    <w:rsid w:val="0056351A"/>
    <w:rsid w:val="00563932"/>
    <w:rsid w:val="0056394B"/>
    <w:rsid w:val="005639F0"/>
    <w:rsid w:val="00563DED"/>
    <w:rsid w:val="0056451C"/>
    <w:rsid w:val="005647E2"/>
    <w:rsid w:val="00565019"/>
    <w:rsid w:val="0056514C"/>
    <w:rsid w:val="005651B4"/>
    <w:rsid w:val="00565AF8"/>
    <w:rsid w:val="005661D6"/>
    <w:rsid w:val="005661E5"/>
    <w:rsid w:val="00566634"/>
    <w:rsid w:val="005667D5"/>
    <w:rsid w:val="0056776D"/>
    <w:rsid w:val="00567C20"/>
    <w:rsid w:val="00567C99"/>
    <w:rsid w:val="00567ED7"/>
    <w:rsid w:val="0057023A"/>
    <w:rsid w:val="00570297"/>
    <w:rsid w:val="00570EB8"/>
    <w:rsid w:val="005710C9"/>
    <w:rsid w:val="005723B6"/>
    <w:rsid w:val="00572AEF"/>
    <w:rsid w:val="00572D64"/>
    <w:rsid w:val="005735F3"/>
    <w:rsid w:val="005737A1"/>
    <w:rsid w:val="005739B3"/>
    <w:rsid w:val="00573D85"/>
    <w:rsid w:val="005741BB"/>
    <w:rsid w:val="0057439F"/>
    <w:rsid w:val="0057455D"/>
    <w:rsid w:val="00574A52"/>
    <w:rsid w:val="005752B2"/>
    <w:rsid w:val="00575738"/>
    <w:rsid w:val="005762A8"/>
    <w:rsid w:val="0057701E"/>
    <w:rsid w:val="00577476"/>
    <w:rsid w:val="00577A3C"/>
    <w:rsid w:val="00577F07"/>
    <w:rsid w:val="00577FF2"/>
    <w:rsid w:val="00581142"/>
    <w:rsid w:val="0058197D"/>
    <w:rsid w:val="0058198C"/>
    <w:rsid w:val="00582777"/>
    <w:rsid w:val="00583310"/>
    <w:rsid w:val="0058340E"/>
    <w:rsid w:val="0058400F"/>
    <w:rsid w:val="00584CBC"/>
    <w:rsid w:val="005851FF"/>
    <w:rsid w:val="0058568D"/>
    <w:rsid w:val="005857D6"/>
    <w:rsid w:val="00585EAB"/>
    <w:rsid w:val="0058624D"/>
    <w:rsid w:val="005863A5"/>
    <w:rsid w:val="005863DF"/>
    <w:rsid w:val="00586878"/>
    <w:rsid w:val="00587018"/>
    <w:rsid w:val="00587283"/>
    <w:rsid w:val="00587922"/>
    <w:rsid w:val="00590211"/>
    <w:rsid w:val="00590CD4"/>
    <w:rsid w:val="00591D99"/>
    <w:rsid w:val="005920A4"/>
    <w:rsid w:val="00592438"/>
    <w:rsid w:val="005925F3"/>
    <w:rsid w:val="00592F58"/>
    <w:rsid w:val="00593339"/>
    <w:rsid w:val="00594658"/>
    <w:rsid w:val="005948E6"/>
    <w:rsid w:val="00595036"/>
    <w:rsid w:val="005959E3"/>
    <w:rsid w:val="00595AB3"/>
    <w:rsid w:val="00595B02"/>
    <w:rsid w:val="00595DCE"/>
    <w:rsid w:val="005960AB"/>
    <w:rsid w:val="005A063D"/>
    <w:rsid w:val="005A085E"/>
    <w:rsid w:val="005A1953"/>
    <w:rsid w:val="005A19F1"/>
    <w:rsid w:val="005A1D5A"/>
    <w:rsid w:val="005A1FC4"/>
    <w:rsid w:val="005A25A6"/>
    <w:rsid w:val="005A2B4A"/>
    <w:rsid w:val="005A310B"/>
    <w:rsid w:val="005A4303"/>
    <w:rsid w:val="005A43FE"/>
    <w:rsid w:val="005A5C1F"/>
    <w:rsid w:val="005A64C0"/>
    <w:rsid w:val="005B083B"/>
    <w:rsid w:val="005B0C92"/>
    <w:rsid w:val="005B1719"/>
    <w:rsid w:val="005B1B93"/>
    <w:rsid w:val="005B1C83"/>
    <w:rsid w:val="005B1F88"/>
    <w:rsid w:val="005B2111"/>
    <w:rsid w:val="005B3091"/>
    <w:rsid w:val="005B331D"/>
    <w:rsid w:val="005B3458"/>
    <w:rsid w:val="005B37DE"/>
    <w:rsid w:val="005B3929"/>
    <w:rsid w:val="005B5C09"/>
    <w:rsid w:val="005B5E21"/>
    <w:rsid w:val="005B5EAA"/>
    <w:rsid w:val="005B6FE7"/>
    <w:rsid w:val="005C0228"/>
    <w:rsid w:val="005C05AF"/>
    <w:rsid w:val="005C0A5E"/>
    <w:rsid w:val="005C1001"/>
    <w:rsid w:val="005C18EC"/>
    <w:rsid w:val="005C1D84"/>
    <w:rsid w:val="005C2938"/>
    <w:rsid w:val="005C2A9A"/>
    <w:rsid w:val="005C3095"/>
    <w:rsid w:val="005C3288"/>
    <w:rsid w:val="005C38E4"/>
    <w:rsid w:val="005C40C9"/>
    <w:rsid w:val="005C4C42"/>
    <w:rsid w:val="005C4F15"/>
    <w:rsid w:val="005C55DB"/>
    <w:rsid w:val="005C69FA"/>
    <w:rsid w:val="005C6BF2"/>
    <w:rsid w:val="005C6D64"/>
    <w:rsid w:val="005C6D6B"/>
    <w:rsid w:val="005C6FDB"/>
    <w:rsid w:val="005C73E8"/>
    <w:rsid w:val="005C7430"/>
    <w:rsid w:val="005C75E4"/>
    <w:rsid w:val="005C76C9"/>
    <w:rsid w:val="005D0A64"/>
    <w:rsid w:val="005D178F"/>
    <w:rsid w:val="005D238B"/>
    <w:rsid w:val="005D3051"/>
    <w:rsid w:val="005D30C1"/>
    <w:rsid w:val="005D34E0"/>
    <w:rsid w:val="005D3798"/>
    <w:rsid w:val="005D435B"/>
    <w:rsid w:val="005D4B4A"/>
    <w:rsid w:val="005D53CC"/>
    <w:rsid w:val="005D5A4D"/>
    <w:rsid w:val="005D6006"/>
    <w:rsid w:val="005D669A"/>
    <w:rsid w:val="005D7ADA"/>
    <w:rsid w:val="005D7B1F"/>
    <w:rsid w:val="005D7D4C"/>
    <w:rsid w:val="005E02AF"/>
    <w:rsid w:val="005E0967"/>
    <w:rsid w:val="005E0A49"/>
    <w:rsid w:val="005E0D5F"/>
    <w:rsid w:val="005E20A2"/>
    <w:rsid w:val="005E362F"/>
    <w:rsid w:val="005E3EC3"/>
    <w:rsid w:val="005E407A"/>
    <w:rsid w:val="005E47BB"/>
    <w:rsid w:val="005E55D2"/>
    <w:rsid w:val="005E56BD"/>
    <w:rsid w:val="005E5B35"/>
    <w:rsid w:val="005E5B4F"/>
    <w:rsid w:val="005E5EE6"/>
    <w:rsid w:val="005E6119"/>
    <w:rsid w:val="005E6699"/>
    <w:rsid w:val="005E76B4"/>
    <w:rsid w:val="005E7DA2"/>
    <w:rsid w:val="005F09D3"/>
    <w:rsid w:val="005F0A55"/>
    <w:rsid w:val="005F10D1"/>
    <w:rsid w:val="005F1607"/>
    <w:rsid w:val="005F1EC1"/>
    <w:rsid w:val="005F2307"/>
    <w:rsid w:val="005F263D"/>
    <w:rsid w:val="005F279D"/>
    <w:rsid w:val="005F2A58"/>
    <w:rsid w:val="005F40D3"/>
    <w:rsid w:val="005F485D"/>
    <w:rsid w:val="005F5FFE"/>
    <w:rsid w:val="005F6FEC"/>
    <w:rsid w:val="005F77B8"/>
    <w:rsid w:val="005F7A9A"/>
    <w:rsid w:val="005F7DAE"/>
    <w:rsid w:val="00601587"/>
    <w:rsid w:val="00601734"/>
    <w:rsid w:val="006026F5"/>
    <w:rsid w:val="0060386B"/>
    <w:rsid w:val="00603971"/>
    <w:rsid w:val="00603F0D"/>
    <w:rsid w:val="00605AFB"/>
    <w:rsid w:val="006066EA"/>
    <w:rsid w:val="00607622"/>
    <w:rsid w:val="0060771E"/>
    <w:rsid w:val="0060778B"/>
    <w:rsid w:val="00607990"/>
    <w:rsid w:val="00611471"/>
    <w:rsid w:val="006117D9"/>
    <w:rsid w:val="00611A27"/>
    <w:rsid w:val="00613069"/>
    <w:rsid w:val="00613DCF"/>
    <w:rsid w:val="006140AA"/>
    <w:rsid w:val="006140B0"/>
    <w:rsid w:val="00614A6C"/>
    <w:rsid w:val="00615778"/>
    <w:rsid w:val="00615866"/>
    <w:rsid w:val="00615B90"/>
    <w:rsid w:val="00615DE4"/>
    <w:rsid w:val="006168BE"/>
    <w:rsid w:val="006168FA"/>
    <w:rsid w:val="00616F72"/>
    <w:rsid w:val="00617426"/>
    <w:rsid w:val="00617DA9"/>
    <w:rsid w:val="006213BB"/>
    <w:rsid w:val="00621573"/>
    <w:rsid w:val="00622702"/>
    <w:rsid w:val="006227E3"/>
    <w:rsid w:val="00623BDA"/>
    <w:rsid w:val="00624686"/>
    <w:rsid w:val="006253FF"/>
    <w:rsid w:val="00625AC0"/>
    <w:rsid w:val="00625F99"/>
    <w:rsid w:val="00626635"/>
    <w:rsid w:val="00626CC7"/>
    <w:rsid w:val="00627152"/>
    <w:rsid w:val="00627FE3"/>
    <w:rsid w:val="00630F17"/>
    <w:rsid w:val="00631235"/>
    <w:rsid w:val="006316D2"/>
    <w:rsid w:val="0063267F"/>
    <w:rsid w:val="006329A1"/>
    <w:rsid w:val="00632ECD"/>
    <w:rsid w:val="00633084"/>
    <w:rsid w:val="00633502"/>
    <w:rsid w:val="00633EB4"/>
    <w:rsid w:val="0063423F"/>
    <w:rsid w:val="006353F4"/>
    <w:rsid w:val="00635947"/>
    <w:rsid w:val="006360EC"/>
    <w:rsid w:val="0063667B"/>
    <w:rsid w:val="00636D4F"/>
    <w:rsid w:val="00636F90"/>
    <w:rsid w:val="00637A71"/>
    <w:rsid w:val="00637D82"/>
    <w:rsid w:val="00637F06"/>
    <w:rsid w:val="0064086C"/>
    <w:rsid w:val="006408A0"/>
    <w:rsid w:val="006409DF"/>
    <w:rsid w:val="00640A7C"/>
    <w:rsid w:val="00640FED"/>
    <w:rsid w:val="00641812"/>
    <w:rsid w:val="00641DE8"/>
    <w:rsid w:val="006424D6"/>
    <w:rsid w:val="00643090"/>
    <w:rsid w:val="00643484"/>
    <w:rsid w:val="00643C1B"/>
    <w:rsid w:val="00643CE6"/>
    <w:rsid w:val="00643E90"/>
    <w:rsid w:val="00644250"/>
    <w:rsid w:val="006444D7"/>
    <w:rsid w:val="00644510"/>
    <w:rsid w:val="0064531C"/>
    <w:rsid w:val="00645E7E"/>
    <w:rsid w:val="0064748D"/>
    <w:rsid w:val="006478F5"/>
    <w:rsid w:val="006479DB"/>
    <w:rsid w:val="00647C36"/>
    <w:rsid w:val="006514BA"/>
    <w:rsid w:val="00651F6B"/>
    <w:rsid w:val="00652096"/>
    <w:rsid w:val="0065266B"/>
    <w:rsid w:val="00652A60"/>
    <w:rsid w:val="00652BAD"/>
    <w:rsid w:val="00652C07"/>
    <w:rsid w:val="00652C2C"/>
    <w:rsid w:val="0065346E"/>
    <w:rsid w:val="00653CA1"/>
    <w:rsid w:val="00654073"/>
    <w:rsid w:val="00654B20"/>
    <w:rsid w:val="006552CE"/>
    <w:rsid w:val="00655B91"/>
    <w:rsid w:val="00656130"/>
    <w:rsid w:val="00656138"/>
    <w:rsid w:val="006562E6"/>
    <w:rsid w:val="00657F3E"/>
    <w:rsid w:val="006602FF"/>
    <w:rsid w:val="00660F6C"/>
    <w:rsid w:val="00661B19"/>
    <w:rsid w:val="00661D98"/>
    <w:rsid w:val="0066277F"/>
    <w:rsid w:val="00663BBC"/>
    <w:rsid w:val="0066436D"/>
    <w:rsid w:val="00664515"/>
    <w:rsid w:val="00664ABD"/>
    <w:rsid w:val="00664FEA"/>
    <w:rsid w:val="00665648"/>
    <w:rsid w:val="00665C1F"/>
    <w:rsid w:val="00665CCE"/>
    <w:rsid w:val="00666F57"/>
    <w:rsid w:val="006675EC"/>
    <w:rsid w:val="006678E5"/>
    <w:rsid w:val="006679A4"/>
    <w:rsid w:val="00667AD2"/>
    <w:rsid w:val="00667B21"/>
    <w:rsid w:val="00667B95"/>
    <w:rsid w:val="00667D16"/>
    <w:rsid w:val="00670681"/>
    <w:rsid w:val="0067096D"/>
    <w:rsid w:val="00670DD0"/>
    <w:rsid w:val="0067165B"/>
    <w:rsid w:val="006717CA"/>
    <w:rsid w:val="0067181F"/>
    <w:rsid w:val="00671916"/>
    <w:rsid w:val="00671C2F"/>
    <w:rsid w:val="006728B2"/>
    <w:rsid w:val="00672EB3"/>
    <w:rsid w:val="00673D9B"/>
    <w:rsid w:val="00674326"/>
    <w:rsid w:val="00674CEC"/>
    <w:rsid w:val="00675F89"/>
    <w:rsid w:val="00677BD5"/>
    <w:rsid w:val="00677E93"/>
    <w:rsid w:val="00680312"/>
    <w:rsid w:val="00681BC6"/>
    <w:rsid w:val="00681C34"/>
    <w:rsid w:val="006824D8"/>
    <w:rsid w:val="00682802"/>
    <w:rsid w:val="00682F46"/>
    <w:rsid w:val="0068361A"/>
    <w:rsid w:val="00683B01"/>
    <w:rsid w:val="00683DAB"/>
    <w:rsid w:val="0068475D"/>
    <w:rsid w:val="006849CB"/>
    <w:rsid w:val="006849EB"/>
    <w:rsid w:val="00685A88"/>
    <w:rsid w:val="006866A8"/>
    <w:rsid w:val="00687D17"/>
    <w:rsid w:val="006902E8"/>
    <w:rsid w:val="006902ED"/>
    <w:rsid w:val="0069080E"/>
    <w:rsid w:val="00690A32"/>
    <w:rsid w:val="00691A20"/>
    <w:rsid w:val="00692140"/>
    <w:rsid w:val="0069247C"/>
    <w:rsid w:val="006924DD"/>
    <w:rsid w:val="006925C0"/>
    <w:rsid w:val="0069298C"/>
    <w:rsid w:val="006932AF"/>
    <w:rsid w:val="0069368D"/>
    <w:rsid w:val="0069386B"/>
    <w:rsid w:val="00693A09"/>
    <w:rsid w:val="00693E10"/>
    <w:rsid w:val="00693E6C"/>
    <w:rsid w:val="006941CA"/>
    <w:rsid w:val="0069427F"/>
    <w:rsid w:val="00694AF0"/>
    <w:rsid w:val="00694F3E"/>
    <w:rsid w:val="006955A6"/>
    <w:rsid w:val="006957FB"/>
    <w:rsid w:val="00695AD6"/>
    <w:rsid w:val="00695B92"/>
    <w:rsid w:val="00695D18"/>
    <w:rsid w:val="0069677B"/>
    <w:rsid w:val="0069715B"/>
    <w:rsid w:val="00697739"/>
    <w:rsid w:val="006A030E"/>
    <w:rsid w:val="006A0A4B"/>
    <w:rsid w:val="006A18FE"/>
    <w:rsid w:val="006A2673"/>
    <w:rsid w:val="006A3AA4"/>
    <w:rsid w:val="006A3ACC"/>
    <w:rsid w:val="006A4E8A"/>
    <w:rsid w:val="006A6084"/>
    <w:rsid w:val="006A632E"/>
    <w:rsid w:val="006A6603"/>
    <w:rsid w:val="006A6610"/>
    <w:rsid w:val="006A75F3"/>
    <w:rsid w:val="006B0697"/>
    <w:rsid w:val="006B140C"/>
    <w:rsid w:val="006B247B"/>
    <w:rsid w:val="006B28BC"/>
    <w:rsid w:val="006B2B9E"/>
    <w:rsid w:val="006B2C65"/>
    <w:rsid w:val="006B30A5"/>
    <w:rsid w:val="006B3575"/>
    <w:rsid w:val="006B38F8"/>
    <w:rsid w:val="006B4838"/>
    <w:rsid w:val="006B4B6C"/>
    <w:rsid w:val="006B4DB8"/>
    <w:rsid w:val="006B5809"/>
    <w:rsid w:val="006B6B73"/>
    <w:rsid w:val="006B7725"/>
    <w:rsid w:val="006B7FAC"/>
    <w:rsid w:val="006C01C2"/>
    <w:rsid w:val="006C0B60"/>
    <w:rsid w:val="006C1631"/>
    <w:rsid w:val="006C16D5"/>
    <w:rsid w:val="006C1DCF"/>
    <w:rsid w:val="006C2110"/>
    <w:rsid w:val="006C26F2"/>
    <w:rsid w:val="006C28FD"/>
    <w:rsid w:val="006C2F18"/>
    <w:rsid w:val="006C3038"/>
    <w:rsid w:val="006C3591"/>
    <w:rsid w:val="006C3596"/>
    <w:rsid w:val="006C3779"/>
    <w:rsid w:val="006C3AEB"/>
    <w:rsid w:val="006C4221"/>
    <w:rsid w:val="006C4890"/>
    <w:rsid w:val="006C5391"/>
    <w:rsid w:val="006C59D2"/>
    <w:rsid w:val="006C6002"/>
    <w:rsid w:val="006C7084"/>
    <w:rsid w:val="006C7824"/>
    <w:rsid w:val="006C7A58"/>
    <w:rsid w:val="006D0428"/>
    <w:rsid w:val="006D17A4"/>
    <w:rsid w:val="006D1D44"/>
    <w:rsid w:val="006D22B3"/>
    <w:rsid w:val="006D3B90"/>
    <w:rsid w:val="006D47CE"/>
    <w:rsid w:val="006D4956"/>
    <w:rsid w:val="006D4E80"/>
    <w:rsid w:val="006D54C8"/>
    <w:rsid w:val="006D5614"/>
    <w:rsid w:val="006D63C1"/>
    <w:rsid w:val="006D688F"/>
    <w:rsid w:val="006D6B95"/>
    <w:rsid w:val="006D73B4"/>
    <w:rsid w:val="006D79A5"/>
    <w:rsid w:val="006D7F27"/>
    <w:rsid w:val="006E0CD4"/>
    <w:rsid w:val="006E0E60"/>
    <w:rsid w:val="006E1936"/>
    <w:rsid w:val="006E22C5"/>
    <w:rsid w:val="006E2909"/>
    <w:rsid w:val="006E374E"/>
    <w:rsid w:val="006E3887"/>
    <w:rsid w:val="006E38A1"/>
    <w:rsid w:val="006E39CF"/>
    <w:rsid w:val="006E4490"/>
    <w:rsid w:val="006E5679"/>
    <w:rsid w:val="006E5723"/>
    <w:rsid w:val="006E58A7"/>
    <w:rsid w:val="006E6EA7"/>
    <w:rsid w:val="006E7031"/>
    <w:rsid w:val="006E7B42"/>
    <w:rsid w:val="006F01BC"/>
    <w:rsid w:val="006F101D"/>
    <w:rsid w:val="006F1190"/>
    <w:rsid w:val="006F2732"/>
    <w:rsid w:val="006F3826"/>
    <w:rsid w:val="006F42AD"/>
    <w:rsid w:val="006F49DB"/>
    <w:rsid w:val="006F4C32"/>
    <w:rsid w:val="006F64A1"/>
    <w:rsid w:val="006F6ECF"/>
    <w:rsid w:val="006F733D"/>
    <w:rsid w:val="00700758"/>
    <w:rsid w:val="007009F9"/>
    <w:rsid w:val="00700C54"/>
    <w:rsid w:val="00700D6E"/>
    <w:rsid w:val="00701455"/>
    <w:rsid w:val="00701BCE"/>
    <w:rsid w:val="00701F4D"/>
    <w:rsid w:val="007026EC"/>
    <w:rsid w:val="00702BE8"/>
    <w:rsid w:val="00702CAC"/>
    <w:rsid w:val="00702D76"/>
    <w:rsid w:val="007034D6"/>
    <w:rsid w:val="0070458F"/>
    <w:rsid w:val="0070590A"/>
    <w:rsid w:val="00705BA7"/>
    <w:rsid w:val="00705C77"/>
    <w:rsid w:val="00705E89"/>
    <w:rsid w:val="00706589"/>
    <w:rsid w:val="00706992"/>
    <w:rsid w:val="00707039"/>
    <w:rsid w:val="00707313"/>
    <w:rsid w:val="00707818"/>
    <w:rsid w:val="00707AEF"/>
    <w:rsid w:val="00707CF4"/>
    <w:rsid w:val="007100A3"/>
    <w:rsid w:val="0071067C"/>
    <w:rsid w:val="00711A38"/>
    <w:rsid w:val="00711AB7"/>
    <w:rsid w:val="00712981"/>
    <w:rsid w:val="00712DF4"/>
    <w:rsid w:val="00713004"/>
    <w:rsid w:val="0071485E"/>
    <w:rsid w:val="0071538B"/>
    <w:rsid w:val="00715510"/>
    <w:rsid w:val="007157E8"/>
    <w:rsid w:val="0071588A"/>
    <w:rsid w:val="00715D76"/>
    <w:rsid w:val="007168A3"/>
    <w:rsid w:val="00716E00"/>
    <w:rsid w:val="00717846"/>
    <w:rsid w:val="007205E7"/>
    <w:rsid w:val="00721692"/>
    <w:rsid w:val="007219BE"/>
    <w:rsid w:val="00721E39"/>
    <w:rsid w:val="007228EA"/>
    <w:rsid w:val="0072292F"/>
    <w:rsid w:val="00723259"/>
    <w:rsid w:val="00723A59"/>
    <w:rsid w:val="00724153"/>
    <w:rsid w:val="0072462D"/>
    <w:rsid w:val="00724934"/>
    <w:rsid w:val="00724A8C"/>
    <w:rsid w:val="00725232"/>
    <w:rsid w:val="00725DE3"/>
    <w:rsid w:val="00726973"/>
    <w:rsid w:val="00727156"/>
    <w:rsid w:val="007274B2"/>
    <w:rsid w:val="00730976"/>
    <w:rsid w:val="00730C35"/>
    <w:rsid w:val="00731360"/>
    <w:rsid w:val="00731D3E"/>
    <w:rsid w:val="00731F0F"/>
    <w:rsid w:val="00732969"/>
    <w:rsid w:val="00733560"/>
    <w:rsid w:val="0073391F"/>
    <w:rsid w:val="00733ABA"/>
    <w:rsid w:val="00733DDD"/>
    <w:rsid w:val="00734762"/>
    <w:rsid w:val="00734E80"/>
    <w:rsid w:val="007350D8"/>
    <w:rsid w:val="00735924"/>
    <w:rsid w:val="00735E4D"/>
    <w:rsid w:val="00735FA6"/>
    <w:rsid w:val="00735FAE"/>
    <w:rsid w:val="007361B3"/>
    <w:rsid w:val="0073711B"/>
    <w:rsid w:val="00737188"/>
    <w:rsid w:val="00737386"/>
    <w:rsid w:val="0074009A"/>
    <w:rsid w:val="007415E1"/>
    <w:rsid w:val="00741C5A"/>
    <w:rsid w:val="00741C71"/>
    <w:rsid w:val="007424A1"/>
    <w:rsid w:val="007435A3"/>
    <w:rsid w:val="00743773"/>
    <w:rsid w:val="00743C1A"/>
    <w:rsid w:val="00743DE1"/>
    <w:rsid w:val="00743DE9"/>
    <w:rsid w:val="00744F8B"/>
    <w:rsid w:val="00745450"/>
    <w:rsid w:val="0074585F"/>
    <w:rsid w:val="007458C2"/>
    <w:rsid w:val="00746213"/>
    <w:rsid w:val="007503F5"/>
    <w:rsid w:val="00750781"/>
    <w:rsid w:val="007508E8"/>
    <w:rsid w:val="007511D7"/>
    <w:rsid w:val="007514F1"/>
    <w:rsid w:val="0075205D"/>
    <w:rsid w:val="00752F55"/>
    <w:rsid w:val="007532D9"/>
    <w:rsid w:val="0075384E"/>
    <w:rsid w:val="0075392D"/>
    <w:rsid w:val="00753932"/>
    <w:rsid w:val="0075440B"/>
    <w:rsid w:val="007544C7"/>
    <w:rsid w:val="00754534"/>
    <w:rsid w:val="00754C06"/>
    <w:rsid w:val="00755AE6"/>
    <w:rsid w:val="007569ED"/>
    <w:rsid w:val="00757B08"/>
    <w:rsid w:val="00760D9E"/>
    <w:rsid w:val="00760FE4"/>
    <w:rsid w:val="007618FA"/>
    <w:rsid w:val="00761C56"/>
    <w:rsid w:val="00761CE8"/>
    <w:rsid w:val="00763129"/>
    <w:rsid w:val="0076342E"/>
    <w:rsid w:val="007634A6"/>
    <w:rsid w:val="0076366F"/>
    <w:rsid w:val="00763948"/>
    <w:rsid w:val="0076423C"/>
    <w:rsid w:val="007647C8"/>
    <w:rsid w:val="00765244"/>
    <w:rsid w:val="00765F49"/>
    <w:rsid w:val="007665A9"/>
    <w:rsid w:val="00766BD4"/>
    <w:rsid w:val="00767C06"/>
    <w:rsid w:val="00767C41"/>
    <w:rsid w:val="00770593"/>
    <w:rsid w:val="007705CD"/>
    <w:rsid w:val="0077088F"/>
    <w:rsid w:val="007709F5"/>
    <w:rsid w:val="00770E9B"/>
    <w:rsid w:val="007713C3"/>
    <w:rsid w:val="00771AA3"/>
    <w:rsid w:val="00771B12"/>
    <w:rsid w:val="0077208F"/>
    <w:rsid w:val="007720B4"/>
    <w:rsid w:val="0077255E"/>
    <w:rsid w:val="00772A9B"/>
    <w:rsid w:val="0077362D"/>
    <w:rsid w:val="00773C2A"/>
    <w:rsid w:val="00773CDA"/>
    <w:rsid w:val="007744D2"/>
    <w:rsid w:val="00774900"/>
    <w:rsid w:val="007751FA"/>
    <w:rsid w:val="00775A31"/>
    <w:rsid w:val="00775FC8"/>
    <w:rsid w:val="0077608E"/>
    <w:rsid w:val="007776A9"/>
    <w:rsid w:val="007804D2"/>
    <w:rsid w:val="00780DD0"/>
    <w:rsid w:val="0078127B"/>
    <w:rsid w:val="00781378"/>
    <w:rsid w:val="007821F5"/>
    <w:rsid w:val="007826C8"/>
    <w:rsid w:val="007829DA"/>
    <w:rsid w:val="00782DDD"/>
    <w:rsid w:val="00783825"/>
    <w:rsid w:val="0078393C"/>
    <w:rsid w:val="0078497B"/>
    <w:rsid w:val="007856FC"/>
    <w:rsid w:val="007860A9"/>
    <w:rsid w:val="00786737"/>
    <w:rsid w:val="00786D92"/>
    <w:rsid w:val="00786FFB"/>
    <w:rsid w:val="00787A78"/>
    <w:rsid w:val="007901D3"/>
    <w:rsid w:val="007927BE"/>
    <w:rsid w:val="0079288B"/>
    <w:rsid w:val="00793638"/>
    <w:rsid w:val="00793E56"/>
    <w:rsid w:val="00794109"/>
    <w:rsid w:val="0079443B"/>
    <w:rsid w:val="00794996"/>
    <w:rsid w:val="00794B51"/>
    <w:rsid w:val="0079612B"/>
    <w:rsid w:val="007966DE"/>
    <w:rsid w:val="00797096"/>
    <w:rsid w:val="0079782B"/>
    <w:rsid w:val="007A0E69"/>
    <w:rsid w:val="007A101C"/>
    <w:rsid w:val="007A2E28"/>
    <w:rsid w:val="007A40CE"/>
    <w:rsid w:val="007A43AB"/>
    <w:rsid w:val="007A43F0"/>
    <w:rsid w:val="007A4940"/>
    <w:rsid w:val="007A5374"/>
    <w:rsid w:val="007A6797"/>
    <w:rsid w:val="007A6F8E"/>
    <w:rsid w:val="007A7FB3"/>
    <w:rsid w:val="007B0125"/>
    <w:rsid w:val="007B05D8"/>
    <w:rsid w:val="007B0F0B"/>
    <w:rsid w:val="007B10F8"/>
    <w:rsid w:val="007B1B86"/>
    <w:rsid w:val="007B225F"/>
    <w:rsid w:val="007B2289"/>
    <w:rsid w:val="007B31BC"/>
    <w:rsid w:val="007B3482"/>
    <w:rsid w:val="007B39EA"/>
    <w:rsid w:val="007B3C86"/>
    <w:rsid w:val="007B434D"/>
    <w:rsid w:val="007B56E4"/>
    <w:rsid w:val="007B6D5D"/>
    <w:rsid w:val="007B7E41"/>
    <w:rsid w:val="007C05BC"/>
    <w:rsid w:val="007C0922"/>
    <w:rsid w:val="007C1299"/>
    <w:rsid w:val="007C1F09"/>
    <w:rsid w:val="007C2445"/>
    <w:rsid w:val="007C30E0"/>
    <w:rsid w:val="007C3243"/>
    <w:rsid w:val="007C33A1"/>
    <w:rsid w:val="007C34AF"/>
    <w:rsid w:val="007C35D9"/>
    <w:rsid w:val="007C3AC5"/>
    <w:rsid w:val="007C3C16"/>
    <w:rsid w:val="007C3E22"/>
    <w:rsid w:val="007C3FEA"/>
    <w:rsid w:val="007C4894"/>
    <w:rsid w:val="007C528F"/>
    <w:rsid w:val="007C5722"/>
    <w:rsid w:val="007C59AB"/>
    <w:rsid w:val="007C6F45"/>
    <w:rsid w:val="007C7761"/>
    <w:rsid w:val="007C7C07"/>
    <w:rsid w:val="007D0335"/>
    <w:rsid w:val="007D0A01"/>
    <w:rsid w:val="007D0CC7"/>
    <w:rsid w:val="007D189D"/>
    <w:rsid w:val="007D1C92"/>
    <w:rsid w:val="007D2406"/>
    <w:rsid w:val="007D2437"/>
    <w:rsid w:val="007D24DD"/>
    <w:rsid w:val="007D2EFD"/>
    <w:rsid w:val="007D32F1"/>
    <w:rsid w:val="007D359D"/>
    <w:rsid w:val="007D3C1E"/>
    <w:rsid w:val="007D3C9B"/>
    <w:rsid w:val="007D3D86"/>
    <w:rsid w:val="007D3F8E"/>
    <w:rsid w:val="007D4E31"/>
    <w:rsid w:val="007D5063"/>
    <w:rsid w:val="007D5670"/>
    <w:rsid w:val="007D5839"/>
    <w:rsid w:val="007D5908"/>
    <w:rsid w:val="007D5BFB"/>
    <w:rsid w:val="007D5DDF"/>
    <w:rsid w:val="007D64F2"/>
    <w:rsid w:val="007D686A"/>
    <w:rsid w:val="007D692C"/>
    <w:rsid w:val="007D6A2B"/>
    <w:rsid w:val="007D6DCD"/>
    <w:rsid w:val="007D70A6"/>
    <w:rsid w:val="007D74E2"/>
    <w:rsid w:val="007E02BD"/>
    <w:rsid w:val="007E0583"/>
    <w:rsid w:val="007E0BA6"/>
    <w:rsid w:val="007E0D08"/>
    <w:rsid w:val="007E1418"/>
    <w:rsid w:val="007E1428"/>
    <w:rsid w:val="007E16A0"/>
    <w:rsid w:val="007E1E48"/>
    <w:rsid w:val="007E2760"/>
    <w:rsid w:val="007E2947"/>
    <w:rsid w:val="007E2B8F"/>
    <w:rsid w:val="007E2E6E"/>
    <w:rsid w:val="007E3178"/>
    <w:rsid w:val="007E31A0"/>
    <w:rsid w:val="007E3C54"/>
    <w:rsid w:val="007E3F3D"/>
    <w:rsid w:val="007E4C36"/>
    <w:rsid w:val="007E52BA"/>
    <w:rsid w:val="007E55F2"/>
    <w:rsid w:val="007E62C8"/>
    <w:rsid w:val="007E66CF"/>
    <w:rsid w:val="007E6D57"/>
    <w:rsid w:val="007E6EE4"/>
    <w:rsid w:val="007E7AE2"/>
    <w:rsid w:val="007F0315"/>
    <w:rsid w:val="007F1331"/>
    <w:rsid w:val="007F1574"/>
    <w:rsid w:val="007F15F2"/>
    <w:rsid w:val="007F1A91"/>
    <w:rsid w:val="007F2105"/>
    <w:rsid w:val="007F26E9"/>
    <w:rsid w:val="007F2722"/>
    <w:rsid w:val="007F3F51"/>
    <w:rsid w:val="007F55D2"/>
    <w:rsid w:val="007F6134"/>
    <w:rsid w:val="007F6960"/>
    <w:rsid w:val="007F74DE"/>
    <w:rsid w:val="007F77D5"/>
    <w:rsid w:val="007F7EA2"/>
    <w:rsid w:val="0080087C"/>
    <w:rsid w:val="00800D0D"/>
    <w:rsid w:val="0080162A"/>
    <w:rsid w:val="008016C5"/>
    <w:rsid w:val="00801C44"/>
    <w:rsid w:val="00801D5F"/>
    <w:rsid w:val="00802BBB"/>
    <w:rsid w:val="00803061"/>
    <w:rsid w:val="00803A69"/>
    <w:rsid w:val="008045C9"/>
    <w:rsid w:val="00804B73"/>
    <w:rsid w:val="00805D86"/>
    <w:rsid w:val="00805EED"/>
    <w:rsid w:val="00806128"/>
    <w:rsid w:val="00807176"/>
    <w:rsid w:val="00807EB9"/>
    <w:rsid w:val="00810453"/>
    <w:rsid w:val="00810EB6"/>
    <w:rsid w:val="0081141E"/>
    <w:rsid w:val="00813C4C"/>
    <w:rsid w:val="008148C6"/>
    <w:rsid w:val="008150E8"/>
    <w:rsid w:val="00815586"/>
    <w:rsid w:val="008156B5"/>
    <w:rsid w:val="008165B5"/>
    <w:rsid w:val="0081673B"/>
    <w:rsid w:val="0081763D"/>
    <w:rsid w:val="00817F56"/>
    <w:rsid w:val="00820535"/>
    <w:rsid w:val="00820D61"/>
    <w:rsid w:val="008212DA"/>
    <w:rsid w:val="0082140D"/>
    <w:rsid w:val="00822D48"/>
    <w:rsid w:val="00823125"/>
    <w:rsid w:val="0082344A"/>
    <w:rsid w:val="00823795"/>
    <w:rsid w:val="008245D4"/>
    <w:rsid w:val="00824605"/>
    <w:rsid w:val="00824C3A"/>
    <w:rsid w:val="0082632D"/>
    <w:rsid w:val="00826C75"/>
    <w:rsid w:val="00826CE4"/>
    <w:rsid w:val="00826DF5"/>
    <w:rsid w:val="00827174"/>
    <w:rsid w:val="00827505"/>
    <w:rsid w:val="00827734"/>
    <w:rsid w:val="008278DE"/>
    <w:rsid w:val="00827B7D"/>
    <w:rsid w:val="00830447"/>
    <w:rsid w:val="00830664"/>
    <w:rsid w:val="00831821"/>
    <w:rsid w:val="00831905"/>
    <w:rsid w:val="00831AC0"/>
    <w:rsid w:val="00832553"/>
    <w:rsid w:val="00832D13"/>
    <w:rsid w:val="00832E61"/>
    <w:rsid w:val="00833C1A"/>
    <w:rsid w:val="00833D93"/>
    <w:rsid w:val="0083450B"/>
    <w:rsid w:val="0083558A"/>
    <w:rsid w:val="00835822"/>
    <w:rsid w:val="00835D9F"/>
    <w:rsid w:val="008366C1"/>
    <w:rsid w:val="00836DD5"/>
    <w:rsid w:val="00840322"/>
    <w:rsid w:val="00840E44"/>
    <w:rsid w:val="008412FC"/>
    <w:rsid w:val="00841D86"/>
    <w:rsid w:val="00842214"/>
    <w:rsid w:val="0084269D"/>
    <w:rsid w:val="008429C9"/>
    <w:rsid w:val="0084381F"/>
    <w:rsid w:val="00843BF9"/>
    <w:rsid w:val="00843C3D"/>
    <w:rsid w:val="00844CE4"/>
    <w:rsid w:val="008450AC"/>
    <w:rsid w:val="00845239"/>
    <w:rsid w:val="008456ED"/>
    <w:rsid w:val="008460F8"/>
    <w:rsid w:val="0084632A"/>
    <w:rsid w:val="00846F4F"/>
    <w:rsid w:val="00846FB3"/>
    <w:rsid w:val="00847349"/>
    <w:rsid w:val="00847F3A"/>
    <w:rsid w:val="008500A8"/>
    <w:rsid w:val="008505E9"/>
    <w:rsid w:val="008509C6"/>
    <w:rsid w:val="00851864"/>
    <w:rsid w:val="0085193F"/>
    <w:rsid w:val="00851BAF"/>
    <w:rsid w:val="00851F92"/>
    <w:rsid w:val="008525E1"/>
    <w:rsid w:val="008530D3"/>
    <w:rsid w:val="008530D4"/>
    <w:rsid w:val="00854726"/>
    <w:rsid w:val="00854A78"/>
    <w:rsid w:val="008558CE"/>
    <w:rsid w:val="00856446"/>
    <w:rsid w:val="0085657E"/>
    <w:rsid w:val="00856AFD"/>
    <w:rsid w:val="0085714D"/>
    <w:rsid w:val="00857385"/>
    <w:rsid w:val="00860A41"/>
    <w:rsid w:val="00860CA7"/>
    <w:rsid w:val="00861A2C"/>
    <w:rsid w:val="00862287"/>
    <w:rsid w:val="0086338F"/>
    <w:rsid w:val="00863556"/>
    <w:rsid w:val="008635F3"/>
    <w:rsid w:val="00863982"/>
    <w:rsid w:val="00863AE1"/>
    <w:rsid w:val="00863EF5"/>
    <w:rsid w:val="008642FB"/>
    <w:rsid w:val="00864655"/>
    <w:rsid w:val="00864BD4"/>
    <w:rsid w:val="0086554C"/>
    <w:rsid w:val="00865A93"/>
    <w:rsid w:val="008664C5"/>
    <w:rsid w:val="008671A5"/>
    <w:rsid w:val="00870869"/>
    <w:rsid w:val="00871311"/>
    <w:rsid w:val="0087173E"/>
    <w:rsid w:val="00872119"/>
    <w:rsid w:val="0087225A"/>
    <w:rsid w:val="008727E7"/>
    <w:rsid w:val="0087297C"/>
    <w:rsid w:val="0087468C"/>
    <w:rsid w:val="00874903"/>
    <w:rsid w:val="00874DED"/>
    <w:rsid w:val="00875146"/>
    <w:rsid w:val="00875352"/>
    <w:rsid w:val="00875390"/>
    <w:rsid w:val="00875C58"/>
    <w:rsid w:val="00875FB4"/>
    <w:rsid w:val="00876A33"/>
    <w:rsid w:val="00876DB1"/>
    <w:rsid w:val="00876EA1"/>
    <w:rsid w:val="00877888"/>
    <w:rsid w:val="00877CA5"/>
    <w:rsid w:val="00877EBB"/>
    <w:rsid w:val="00877FA8"/>
    <w:rsid w:val="00880567"/>
    <w:rsid w:val="00880A8C"/>
    <w:rsid w:val="00881824"/>
    <w:rsid w:val="00881C94"/>
    <w:rsid w:val="0088259B"/>
    <w:rsid w:val="00882695"/>
    <w:rsid w:val="008826E2"/>
    <w:rsid w:val="00882760"/>
    <w:rsid w:val="008835E6"/>
    <w:rsid w:val="00883AA6"/>
    <w:rsid w:val="00884963"/>
    <w:rsid w:val="008849D8"/>
    <w:rsid w:val="008853B4"/>
    <w:rsid w:val="00885898"/>
    <w:rsid w:val="00885CA3"/>
    <w:rsid w:val="00886D83"/>
    <w:rsid w:val="0088743B"/>
    <w:rsid w:val="00887EB7"/>
    <w:rsid w:val="00890412"/>
    <w:rsid w:val="00890613"/>
    <w:rsid w:val="00890614"/>
    <w:rsid w:val="00890E0A"/>
    <w:rsid w:val="008910E6"/>
    <w:rsid w:val="008913DF"/>
    <w:rsid w:val="008913E0"/>
    <w:rsid w:val="00891B34"/>
    <w:rsid w:val="0089269D"/>
    <w:rsid w:val="00892E03"/>
    <w:rsid w:val="0089399A"/>
    <w:rsid w:val="00893B04"/>
    <w:rsid w:val="00893C35"/>
    <w:rsid w:val="008948B0"/>
    <w:rsid w:val="00896808"/>
    <w:rsid w:val="00896C39"/>
    <w:rsid w:val="00896D32"/>
    <w:rsid w:val="0089748A"/>
    <w:rsid w:val="00897580"/>
    <w:rsid w:val="008976B2"/>
    <w:rsid w:val="008977ED"/>
    <w:rsid w:val="00897FE1"/>
    <w:rsid w:val="008A06B7"/>
    <w:rsid w:val="008A0803"/>
    <w:rsid w:val="008A1F01"/>
    <w:rsid w:val="008A21C7"/>
    <w:rsid w:val="008A33B2"/>
    <w:rsid w:val="008A3F5B"/>
    <w:rsid w:val="008A46EF"/>
    <w:rsid w:val="008A5468"/>
    <w:rsid w:val="008A5A34"/>
    <w:rsid w:val="008A6B09"/>
    <w:rsid w:val="008A70A4"/>
    <w:rsid w:val="008B079C"/>
    <w:rsid w:val="008B1227"/>
    <w:rsid w:val="008B1781"/>
    <w:rsid w:val="008B1C5C"/>
    <w:rsid w:val="008B1E21"/>
    <w:rsid w:val="008B1E8A"/>
    <w:rsid w:val="008B2746"/>
    <w:rsid w:val="008B3034"/>
    <w:rsid w:val="008B304B"/>
    <w:rsid w:val="008B3744"/>
    <w:rsid w:val="008B3A2A"/>
    <w:rsid w:val="008B40A0"/>
    <w:rsid w:val="008B43B2"/>
    <w:rsid w:val="008B4A8A"/>
    <w:rsid w:val="008B56F2"/>
    <w:rsid w:val="008B64F2"/>
    <w:rsid w:val="008B6AE2"/>
    <w:rsid w:val="008B7136"/>
    <w:rsid w:val="008B77B9"/>
    <w:rsid w:val="008C0251"/>
    <w:rsid w:val="008C0804"/>
    <w:rsid w:val="008C088F"/>
    <w:rsid w:val="008C0FE5"/>
    <w:rsid w:val="008C1603"/>
    <w:rsid w:val="008C1FD4"/>
    <w:rsid w:val="008C2E7E"/>
    <w:rsid w:val="008C3689"/>
    <w:rsid w:val="008C3B05"/>
    <w:rsid w:val="008C3EDA"/>
    <w:rsid w:val="008C4F52"/>
    <w:rsid w:val="008D0363"/>
    <w:rsid w:val="008D0494"/>
    <w:rsid w:val="008D0542"/>
    <w:rsid w:val="008D092A"/>
    <w:rsid w:val="008D0F78"/>
    <w:rsid w:val="008D1603"/>
    <w:rsid w:val="008D199E"/>
    <w:rsid w:val="008D1AC1"/>
    <w:rsid w:val="008D2AD6"/>
    <w:rsid w:val="008D2D95"/>
    <w:rsid w:val="008D3315"/>
    <w:rsid w:val="008D4DB5"/>
    <w:rsid w:val="008D557B"/>
    <w:rsid w:val="008D59E6"/>
    <w:rsid w:val="008D5ED3"/>
    <w:rsid w:val="008D65D6"/>
    <w:rsid w:val="008D6955"/>
    <w:rsid w:val="008D6F47"/>
    <w:rsid w:val="008D717A"/>
    <w:rsid w:val="008E027D"/>
    <w:rsid w:val="008E03E9"/>
    <w:rsid w:val="008E0469"/>
    <w:rsid w:val="008E0BF8"/>
    <w:rsid w:val="008E1695"/>
    <w:rsid w:val="008E21D1"/>
    <w:rsid w:val="008E2366"/>
    <w:rsid w:val="008E26A3"/>
    <w:rsid w:val="008E2EF1"/>
    <w:rsid w:val="008E315A"/>
    <w:rsid w:val="008E38A8"/>
    <w:rsid w:val="008E3972"/>
    <w:rsid w:val="008E3E53"/>
    <w:rsid w:val="008E442B"/>
    <w:rsid w:val="008E4574"/>
    <w:rsid w:val="008E49F6"/>
    <w:rsid w:val="008E588A"/>
    <w:rsid w:val="008E5D89"/>
    <w:rsid w:val="008E6EAB"/>
    <w:rsid w:val="008E74DA"/>
    <w:rsid w:val="008E78AB"/>
    <w:rsid w:val="008E7E77"/>
    <w:rsid w:val="008F0733"/>
    <w:rsid w:val="008F1266"/>
    <w:rsid w:val="008F2507"/>
    <w:rsid w:val="008F30BB"/>
    <w:rsid w:val="008F3245"/>
    <w:rsid w:val="008F36CA"/>
    <w:rsid w:val="008F48F6"/>
    <w:rsid w:val="008F5554"/>
    <w:rsid w:val="008F6257"/>
    <w:rsid w:val="008F6467"/>
    <w:rsid w:val="008F70C9"/>
    <w:rsid w:val="008F759F"/>
    <w:rsid w:val="008F76C5"/>
    <w:rsid w:val="008F7E27"/>
    <w:rsid w:val="00900E3A"/>
    <w:rsid w:val="00901662"/>
    <w:rsid w:val="00902173"/>
    <w:rsid w:val="0090232C"/>
    <w:rsid w:val="009029BE"/>
    <w:rsid w:val="009031F0"/>
    <w:rsid w:val="00903486"/>
    <w:rsid w:val="009035BD"/>
    <w:rsid w:val="0090363A"/>
    <w:rsid w:val="0090372E"/>
    <w:rsid w:val="0090392D"/>
    <w:rsid w:val="00904759"/>
    <w:rsid w:val="009047A7"/>
    <w:rsid w:val="009048E3"/>
    <w:rsid w:val="00904AD2"/>
    <w:rsid w:val="009054E8"/>
    <w:rsid w:val="009056B9"/>
    <w:rsid w:val="0090581D"/>
    <w:rsid w:val="00905982"/>
    <w:rsid w:val="009067BE"/>
    <w:rsid w:val="0090696A"/>
    <w:rsid w:val="009072EA"/>
    <w:rsid w:val="00907C65"/>
    <w:rsid w:val="00910703"/>
    <w:rsid w:val="0091241A"/>
    <w:rsid w:val="0091293B"/>
    <w:rsid w:val="00912A5E"/>
    <w:rsid w:val="00912CFB"/>
    <w:rsid w:val="00912EC9"/>
    <w:rsid w:val="0091312E"/>
    <w:rsid w:val="00913539"/>
    <w:rsid w:val="009137A7"/>
    <w:rsid w:val="00915273"/>
    <w:rsid w:val="00915625"/>
    <w:rsid w:val="00915904"/>
    <w:rsid w:val="00916413"/>
    <w:rsid w:val="009206C4"/>
    <w:rsid w:val="00920D27"/>
    <w:rsid w:val="00921195"/>
    <w:rsid w:val="009218FF"/>
    <w:rsid w:val="0092195F"/>
    <w:rsid w:val="00921B45"/>
    <w:rsid w:val="00921DD0"/>
    <w:rsid w:val="00922B60"/>
    <w:rsid w:val="00923BC0"/>
    <w:rsid w:val="009244BA"/>
    <w:rsid w:val="00924E5C"/>
    <w:rsid w:val="00925DF0"/>
    <w:rsid w:val="00926715"/>
    <w:rsid w:val="0092681C"/>
    <w:rsid w:val="00926DE2"/>
    <w:rsid w:val="009275BD"/>
    <w:rsid w:val="0092798E"/>
    <w:rsid w:val="00927EE2"/>
    <w:rsid w:val="00930109"/>
    <w:rsid w:val="009301A7"/>
    <w:rsid w:val="00930799"/>
    <w:rsid w:val="00931165"/>
    <w:rsid w:val="0093198A"/>
    <w:rsid w:val="00931B73"/>
    <w:rsid w:val="0093333C"/>
    <w:rsid w:val="00933E7E"/>
    <w:rsid w:val="0093445E"/>
    <w:rsid w:val="009345C6"/>
    <w:rsid w:val="00934DDC"/>
    <w:rsid w:val="0093563C"/>
    <w:rsid w:val="0093564E"/>
    <w:rsid w:val="00935BCD"/>
    <w:rsid w:val="00935C08"/>
    <w:rsid w:val="0093645A"/>
    <w:rsid w:val="00936634"/>
    <w:rsid w:val="00936748"/>
    <w:rsid w:val="00937549"/>
    <w:rsid w:val="00937598"/>
    <w:rsid w:val="0093777D"/>
    <w:rsid w:val="00937A87"/>
    <w:rsid w:val="009405D8"/>
    <w:rsid w:val="0094095F"/>
    <w:rsid w:val="00940AC4"/>
    <w:rsid w:val="0094114E"/>
    <w:rsid w:val="009411AB"/>
    <w:rsid w:val="00941ECA"/>
    <w:rsid w:val="00942E07"/>
    <w:rsid w:val="00942E1A"/>
    <w:rsid w:val="00943348"/>
    <w:rsid w:val="00943AF5"/>
    <w:rsid w:val="00943EF0"/>
    <w:rsid w:val="009440F2"/>
    <w:rsid w:val="0094431A"/>
    <w:rsid w:val="00944C49"/>
    <w:rsid w:val="00944F96"/>
    <w:rsid w:val="009450D5"/>
    <w:rsid w:val="009451D6"/>
    <w:rsid w:val="00945CB3"/>
    <w:rsid w:val="00950A83"/>
    <w:rsid w:val="00950E68"/>
    <w:rsid w:val="00950F51"/>
    <w:rsid w:val="0095158A"/>
    <w:rsid w:val="00951AA6"/>
    <w:rsid w:val="00951CA4"/>
    <w:rsid w:val="00951D40"/>
    <w:rsid w:val="00951FAB"/>
    <w:rsid w:val="00953364"/>
    <w:rsid w:val="00953A27"/>
    <w:rsid w:val="00953E6C"/>
    <w:rsid w:val="009546D0"/>
    <w:rsid w:val="009551C8"/>
    <w:rsid w:val="00955802"/>
    <w:rsid w:val="0095635C"/>
    <w:rsid w:val="00957453"/>
    <w:rsid w:val="00957829"/>
    <w:rsid w:val="00957B2E"/>
    <w:rsid w:val="00957CB5"/>
    <w:rsid w:val="00961D4C"/>
    <w:rsid w:val="00961D51"/>
    <w:rsid w:val="00962947"/>
    <w:rsid w:val="00962DFD"/>
    <w:rsid w:val="00963552"/>
    <w:rsid w:val="00963D51"/>
    <w:rsid w:val="00964319"/>
    <w:rsid w:val="0096522C"/>
    <w:rsid w:val="0096575D"/>
    <w:rsid w:val="0096658D"/>
    <w:rsid w:val="00966611"/>
    <w:rsid w:val="009669E4"/>
    <w:rsid w:val="00967205"/>
    <w:rsid w:val="00967238"/>
    <w:rsid w:val="00967B95"/>
    <w:rsid w:val="00972F58"/>
    <w:rsid w:val="009733A4"/>
    <w:rsid w:val="00973652"/>
    <w:rsid w:val="00974790"/>
    <w:rsid w:val="00974CFF"/>
    <w:rsid w:val="0097508C"/>
    <w:rsid w:val="00976279"/>
    <w:rsid w:val="00976395"/>
    <w:rsid w:val="0097671F"/>
    <w:rsid w:val="0097769D"/>
    <w:rsid w:val="009777D3"/>
    <w:rsid w:val="00977B22"/>
    <w:rsid w:val="0098054A"/>
    <w:rsid w:val="00980726"/>
    <w:rsid w:val="00980C55"/>
    <w:rsid w:val="009810D3"/>
    <w:rsid w:val="00981C0E"/>
    <w:rsid w:val="00982DCD"/>
    <w:rsid w:val="009839E3"/>
    <w:rsid w:val="00983B26"/>
    <w:rsid w:val="0098440F"/>
    <w:rsid w:val="00984F47"/>
    <w:rsid w:val="00985067"/>
    <w:rsid w:val="0098585E"/>
    <w:rsid w:val="00985BD1"/>
    <w:rsid w:val="00985F32"/>
    <w:rsid w:val="00987052"/>
    <w:rsid w:val="00990144"/>
    <w:rsid w:val="009917FD"/>
    <w:rsid w:val="00992BE0"/>
    <w:rsid w:val="009931BA"/>
    <w:rsid w:val="00993471"/>
    <w:rsid w:val="00993519"/>
    <w:rsid w:val="009937A8"/>
    <w:rsid w:val="00994005"/>
    <w:rsid w:val="00994824"/>
    <w:rsid w:val="0099485F"/>
    <w:rsid w:val="00994C15"/>
    <w:rsid w:val="00994F83"/>
    <w:rsid w:val="009951A1"/>
    <w:rsid w:val="00995BB0"/>
    <w:rsid w:val="0099724A"/>
    <w:rsid w:val="00997A35"/>
    <w:rsid w:val="00997B85"/>
    <w:rsid w:val="009A0017"/>
    <w:rsid w:val="009A0A78"/>
    <w:rsid w:val="009A0AE1"/>
    <w:rsid w:val="009A0D9E"/>
    <w:rsid w:val="009A0F97"/>
    <w:rsid w:val="009A186F"/>
    <w:rsid w:val="009A1AE5"/>
    <w:rsid w:val="009A259D"/>
    <w:rsid w:val="009A2765"/>
    <w:rsid w:val="009A2AB3"/>
    <w:rsid w:val="009A4838"/>
    <w:rsid w:val="009A4998"/>
    <w:rsid w:val="009A5B7B"/>
    <w:rsid w:val="009A5C3C"/>
    <w:rsid w:val="009A5C87"/>
    <w:rsid w:val="009A5EB4"/>
    <w:rsid w:val="009A6320"/>
    <w:rsid w:val="009A73C6"/>
    <w:rsid w:val="009B0478"/>
    <w:rsid w:val="009B06F5"/>
    <w:rsid w:val="009B1029"/>
    <w:rsid w:val="009B1951"/>
    <w:rsid w:val="009B2267"/>
    <w:rsid w:val="009B33B8"/>
    <w:rsid w:val="009B3F5C"/>
    <w:rsid w:val="009B5F9E"/>
    <w:rsid w:val="009B760D"/>
    <w:rsid w:val="009B79E2"/>
    <w:rsid w:val="009C00D7"/>
    <w:rsid w:val="009C1B23"/>
    <w:rsid w:val="009C2F73"/>
    <w:rsid w:val="009C42A5"/>
    <w:rsid w:val="009C454C"/>
    <w:rsid w:val="009C4D0A"/>
    <w:rsid w:val="009C4FD2"/>
    <w:rsid w:val="009C545F"/>
    <w:rsid w:val="009C5608"/>
    <w:rsid w:val="009C6599"/>
    <w:rsid w:val="009C68E4"/>
    <w:rsid w:val="009C6CF6"/>
    <w:rsid w:val="009D061E"/>
    <w:rsid w:val="009D0714"/>
    <w:rsid w:val="009D4A02"/>
    <w:rsid w:val="009D4E35"/>
    <w:rsid w:val="009D50F2"/>
    <w:rsid w:val="009D5F58"/>
    <w:rsid w:val="009D68A9"/>
    <w:rsid w:val="009D6A8F"/>
    <w:rsid w:val="009D6F16"/>
    <w:rsid w:val="009D78C7"/>
    <w:rsid w:val="009E01B2"/>
    <w:rsid w:val="009E0453"/>
    <w:rsid w:val="009E0F1F"/>
    <w:rsid w:val="009E3144"/>
    <w:rsid w:val="009E3887"/>
    <w:rsid w:val="009E3A31"/>
    <w:rsid w:val="009E40ED"/>
    <w:rsid w:val="009E4B0A"/>
    <w:rsid w:val="009E4D08"/>
    <w:rsid w:val="009E4F5B"/>
    <w:rsid w:val="009E56A6"/>
    <w:rsid w:val="009E5926"/>
    <w:rsid w:val="009E5B8C"/>
    <w:rsid w:val="009E5F1E"/>
    <w:rsid w:val="009E66D8"/>
    <w:rsid w:val="009E66FA"/>
    <w:rsid w:val="009E6CB0"/>
    <w:rsid w:val="009E7870"/>
    <w:rsid w:val="009E7FB6"/>
    <w:rsid w:val="009F133C"/>
    <w:rsid w:val="009F14DF"/>
    <w:rsid w:val="009F17A5"/>
    <w:rsid w:val="009F18A6"/>
    <w:rsid w:val="009F219C"/>
    <w:rsid w:val="009F3195"/>
    <w:rsid w:val="009F3817"/>
    <w:rsid w:val="009F480F"/>
    <w:rsid w:val="009F49D3"/>
    <w:rsid w:val="009F4BA3"/>
    <w:rsid w:val="009F6A98"/>
    <w:rsid w:val="009F77E4"/>
    <w:rsid w:val="009F7CC2"/>
    <w:rsid w:val="009F7E64"/>
    <w:rsid w:val="00A00DC8"/>
    <w:rsid w:val="00A011AE"/>
    <w:rsid w:val="00A01E3F"/>
    <w:rsid w:val="00A0231F"/>
    <w:rsid w:val="00A02364"/>
    <w:rsid w:val="00A036D9"/>
    <w:rsid w:val="00A043A8"/>
    <w:rsid w:val="00A0451B"/>
    <w:rsid w:val="00A04592"/>
    <w:rsid w:val="00A049ED"/>
    <w:rsid w:val="00A05353"/>
    <w:rsid w:val="00A0582D"/>
    <w:rsid w:val="00A05B0F"/>
    <w:rsid w:val="00A05D90"/>
    <w:rsid w:val="00A06CBD"/>
    <w:rsid w:val="00A07D83"/>
    <w:rsid w:val="00A1011E"/>
    <w:rsid w:val="00A10577"/>
    <w:rsid w:val="00A11178"/>
    <w:rsid w:val="00A11983"/>
    <w:rsid w:val="00A13753"/>
    <w:rsid w:val="00A13979"/>
    <w:rsid w:val="00A13B8F"/>
    <w:rsid w:val="00A1401E"/>
    <w:rsid w:val="00A14801"/>
    <w:rsid w:val="00A14971"/>
    <w:rsid w:val="00A14FFF"/>
    <w:rsid w:val="00A154BB"/>
    <w:rsid w:val="00A15506"/>
    <w:rsid w:val="00A15871"/>
    <w:rsid w:val="00A158C1"/>
    <w:rsid w:val="00A162DB"/>
    <w:rsid w:val="00A16876"/>
    <w:rsid w:val="00A16CF9"/>
    <w:rsid w:val="00A16D68"/>
    <w:rsid w:val="00A177A5"/>
    <w:rsid w:val="00A20101"/>
    <w:rsid w:val="00A20684"/>
    <w:rsid w:val="00A20859"/>
    <w:rsid w:val="00A212BD"/>
    <w:rsid w:val="00A214A0"/>
    <w:rsid w:val="00A21ECE"/>
    <w:rsid w:val="00A2200F"/>
    <w:rsid w:val="00A22497"/>
    <w:rsid w:val="00A2280F"/>
    <w:rsid w:val="00A22AF8"/>
    <w:rsid w:val="00A22BD5"/>
    <w:rsid w:val="00A22C93"/>
    <w:rsid w:val="00A22CE4"/>
    <w:rsid w:val="00A23103"/>
    <w:rsid w:val="00A236DD"/>
    <w:rsid w:val="00A23CD0"/>
    <w:rsid w:val="00A23F54"/>
    <w:rsid w:val="00A24218"/>
    <w:rsid w:val="00A25271"/>
    <w:rsid w:val="00A252A8"/>
    <w:rsid w:val="00A25A54"/>
    <w:rsid w:val="00A26002"/>
    <w:rsid w:val="00A2636B"/>
    <w:rsid w:val="00A26605"/>
    <w:rsid w:val="00A2664F"/>
    <w:rsid w:val="00A275B9"/>
    <w:rsid w:val="00A27823"/>
    <w:rsid w:val="00A27B69"/>
    <w:rsid w:val="00A30139"/>
    <w:rsid w:val="00A3045F"/>
    <w:rsid w:val="00A308CB"/>
    <w:rsid w:val="00A31225"/>
    <w:rsid w:val="00A328BA"/>
    <w:rsid w:val="00A33530"/>
    <w:rsid w:val="00A3386F"/>
    <w:rsid w:val="00A338E6"/>
    <w:rsid w:val="00A33AB7"/>
    <w:rsid w:val="00A343BB"/>
    <w:rsid w:val="00A34A75"/>
    <w:rsid w:val="00A34D97"/>
    <w:rsid w:val="00A34E18"/>
    <w:rsid w:val="00A34F88"/>
    <w:rsid w:val="00A37844"/>
    <w:rsid w:val="00A37D95"/>
    <w:rsid w:val="00A37E75"/>
    <w:rsid w:val="00A4016A"/>
    <w:rsid w:val="00A40A27"/>
    <w:rsid w:val="00A40FA2"/>
    <w:rsid w:val="00A41355"/>
    <w:rsid w:val="00A415EB"/>
    <w:rsid w:val="00A41F23"/>
    <w:rsid w:val="00A42559"/>
    <w:rsid w:val="00A42C81"/>
    <w:rsid w:val="00A42DE3"/>
    <w:rsid w:val="00A437D8"/>
    <w:rsid w:val="00A43A2B"/>
    <w:rsid w:val="00A44798"/>
    <w:rsid w:val="00A44883"/>
    <w:rsid w:val="00A449DC"/>
    <w:rsid w:val="00A45160"/>
    <w:rsid w:val="00A454D1"/>
    <w:rsid w:val="00A45D9B"/>
    <w:rsid w:val="00A460C0"/>
    <w:rsid w:val="00A47062"/>
    <w:rsid w:val="00A47401"/>
    <w:rsid w:val="00A50093"/>
    <w:rsid w:val="00A50196"/>
    <w:rsid w:val="00A50454"/>
    <w:rsid w:val="00A50522"/>
    <w:rsid w:val="00A5053C"/>
    <w:rsid w:val="00A50633"/>
    <w:rsid w:val="00A50763"/>
    <w:rsid w:val="00A5090E"/>
    <w:rsid w:val="00A515F5"/>
    <w:rsid w:val="00A51B0A"/>
    <w:rsid w:val="00A52064"/>
    <w:rsid w:val="00A52A4D"/>
    <w:rsid w:val="00A53359"/>
    <w:rsid w:val="00A534DC"/>
    <w:rsid w:val="00A5395B"/>
    <w:rsid w:val="00A53DFE"/>
    <w:rsid w:val="00A54334"/>
    <w:rsid w:val="00A54961"/>
    <w:rsid w:val="00A5515E"/>
    <w:rsid w:val="00A557F5"/>
    <w:rsid w:val="00A55FB4"/>
    <w:rsid w:val="00A5648F"/>
    <w:rsid w:val="00A56AE6"/>
    <w:rsid w:val="00A57216"/>
    <w:rsid w:val="00A575AC"/>
    <w:rsid w:val="00A607D0"/>
    <w:rsid w:val="00A610B0"/>
    <w:rsid w:val="00A615B5"/>
    <w:rsid w:val="00A623E8"/>
    <w:rsid w:val="00A63FB5"/>
    <w:rsid w:val="00A6421D"/>
    <w:rsid w:val="00A64303"/>
    <w:rsid w:val="00A64631"/>
    <w:rsid w:val="00A64C7C"/>
    <w:rsid w:val="00A64E8A"/>
    <w:rsid w:val="00A64EA6"/>
    <w:rsid w:val="00A65412"/>
    <w:rsid w:val="00A657A0"/>
    <w:rsid w:val="00A659AB"/>
    <w:rsid w:val="00A65BD3"/>
    <w:rsid w:val="00A65E40"/>
    <w:rsid w:val="00A66463"/>
    <w:rsid w:val="00A66BCB"/>
    <w:rsid w:val="00A67449"/>
    <w:rsid w:val="00A67551"/>
    <w:rsid w:val="00A6755E"/>
    <w:rsid w:val="00A6760B"/>
    <w:rsid w:val="00A67C97"/>
    <w:rsid w:val="00A67DFD"/>
    <w:rsid w:val="00A70BC7"/>
    <w:rsid w:val="00A71047"/>
    <w:rsid w:val="00A725B4"/>
    <w:rsid w:val="00A72F91"/>
    <w:rsid w:val="00A737C2"/>
    <w:rsid w:val="00A73E75"/>
    <w:rsid w:val="00A74466"/>
    <w:rsid w:val="00A751A0"/>
    <w:rsid w:val="00A7560C"/>
    <w:rsid w:val="00A75F41"/>
    <w:rsid w:val="00A7742A"/>
    <w:rsid w:val="00A77968"/>
    <w:rsid w:val="00A77A0C"/>
    <w:rsid w:val="00A77B42"/>
    <w:rsid w:val="00A8017B"/>
    <w:rsid w:val="00A808F1"/>
    <w:rsid w:val="00A8171D"/>
    <w:rsid w:val="00A81EE0"/>
    <w:rsid w:val="00A824A4"/>
    <w:rsid w:val="00A82543"/>
    <w:rsid w:val="00A82737"/>
    <w:rsid w:val="00A827E9"/>
    <w:rsid w:val="00A83CD8"/>
    <w:rsid w:val="00A83E0B"/>
    <w:rsid w:val="00A846D2"/>
    <w:rsid w:val="00A86D89"/>
    <w:rsid w:val="00A8723D"/>
    <w:rsid w:val="00A872AE"/>
    <w:rsid w:val="00A90157"/>
    <w:rsid w:val="00A9025C"/>
    <w:rsid w:val="00A90BD2"/>
    <w:rsid w:val="00A9135A"/>
    <w:rsid w:val="00A93D80"/>
    <w:rsid w:val="00A945B2"/>
    <w:rsid w:val="00A95658"/>
    <w:rsid w:val="00A958A9"/>
    <w:rsid w:val="00A96A06"/>
    <w:rsid w:val="00A96EF5"/>
    <w:rsid w:val="00A97270"/>
    <w:rsid w:val="00A97EBF"/>
    <w:rsid w:val="00AA0620"/>
    <w:rsid w:val="00AA088A"/>
    <w:rsid w:val="00AA17BF"/>
    <w:rsid w:val="00AA1902"/>
    <w:rsid w:val="00AA1E56"/>
    <w:rsid w:val="00AA2DDD"/>
    <w:rsid w:val="00AA43E0"/>
    <w:rsid w:val="00AA532F"/>
    <w:rsid w:val="00AA5430"/>
    <w:rsid w:val="00AA5617"/>
    <w:rsid w:val="00AA5834"/>
    <w:rsid w:val="00AA5DCF"/>
    <w:rsid w:val="00AA6287"/>
    <w:rsid w:val="00AA6C61"/>
    <w:rsid w:val="00AB0382"/>
    <w:rsid w:val="00AB078C"/>
    <w:rsid w:val="00AB09FC"/>
    <w:rsid w:val="00AB191F"/>
    <w:rsid w:val="00AB1B3E"/>
    <w:rsid w:val="00AB2525"/>
    <w:rsid w:val="00AB3071"/>
    <w:rsid w:val="00AB31E5"/>
    <w:rsid w:val="00AB3E01"/>
    <w:rsid w:val="00AB4753"/>
    <w:rsid w:val="00AB4D9D"/>
    <w:rsid w:val="00AB4ECA"/>
    <w:rsid w:val="00AB539D"/>
    <w:rsid w:val="00AB581F"/>
    <w:rsid w:val="00AB6908"/>
    <w:rsid w:val="00AB7196"/>
    <w:rsid w:val="00AB73D5"/>
    <w:rsid w:val="00AC1A47"/>
    <w:rsid w:val="00AC210A"/>
    <w:rsid w:val="00AC2751"/>
    <w:rsid w:val="00AC2788"/>
    <w:rsid w:val="00AC296D"/>
    <w:rsid w:val="00AC2CF5"/>
    <w:rsid w:val="00AC36F2"/>
    <w:rsid w:val="00AC3A3C"/>
    <w:rsid w:val="00AC4003"/>
    <w:rsid w:val="00AC42FF"/>
    <w:rsid w:val="00AC4826"/>
    <w:rsid w:val="00AC4C7A"/>
    <w:rsid w:val="00AC4DA4"/>
    <w:rsid w:val="00AC50CC"/>
    <w:rsid w:val="00AC5BC3"/>
    <w:rsid w:val="00AC5D88"/>
    <w:rsid w:val="00AC65BB"/>
    <w:rsid w:val="00AC6BEA"/>
    <w:rsid w:val="00AC7121"/>
    <w:rsid w:val="00AC775E"/>
    <w:rsid w:val="00AD045C"/>
    <w:rsid w:val="00AD0777"/>
    <w:rsid w:val="00AD0861"/>
    <w:rsid w:val="00AD0A06"/>
    <w:rsid w:val="00AD16E2"/>
    <w:rsid w:val="00AD220B"/>
    <w:rsid w:val="00AD228B"/>
    <w:rsid w:val="00AD237A"/>
    <w:rsid w:val="00AD2A10"/>
    <w:rsid w:val="00AD33C6"/>
    <w:rsid w:val="00AD3409"/>
    <w:rsid w:val="00AD368D"/>
    <w:rsid w:val="00AD4626"/>
    <w:rsid w:val="00AD4B7F"/>
    <w:rsid w:val="00AD4E3E"/>
    <w:rsid w:val="00AD5F88"/>
    <w:rsid w:val="00AD61E7"/>
    <w:rsid w:val="00AD626A"/>
    <w:rsid w:val="00AD679A"/>
    <w:rsid w:val="00AE0A35"/>
    <w:rsid w:val="00AE3115"/>
    <w:rsid w:val="00AE31BC"/>
    <w:rsid w:val="00AE34CB"/>
    <w:rsid w:val="00AE3698"/>
    <w:rsid w:val="00AE3AA8"/>
    <w:rsid w:val="00AE3C7D"/>
    <w:rsid w:val="00AE4190"/>
    <w:rsid w:val="00AE4A95"/>
    <w:rsid w:val="00AE4AC8"/>
    <w:rsid w:val="00AE5E48"/>
    <w:rsid w:val="00AE65CF"/>
    <w:rsid w:val="00AE73A3"/>
    <w:rsid w:val="00AF0529"/>
    <w:rsid w:val="00AF0843"/>
    <w:rsid w:val="00AF0932"/>
    <w:rsid w:val="00AF0AFC"/>
    <w:rsid w:val="00AF0CAE"/>
    <w:rsid w:val="00AF0CD2"/>
    <w:rsid w:val="00AF10A9"/>
    <w:rsid w:val="00AF1D8B"/>
    <w:rsid w:val="00AF27B2"/>
    <w:rsid w:val="00AF2FBB"/>
    <w:rsid w:val="00AF3576"/>
    <w:rsid w:val="00AF3603"/>
    <w:rsid w:val="00AF3936"/>
    <w:rsid w:val="00AF4388"/>
    <w:rsid w:val="00AF43EE"/>
    <w:rsid w:val="00AF4A13"/>
    <w:rsid w:val="00AF5413"/>
    <w:rsid w:val="00AF65C5"/>
    <w:rsid w:val="00AF6BDE"/>
    <w:rsid w:val="00AF717A"/>
    <w:rsid w:val="00AF73FA"/>
    <w:rsid w:val="00AF790E"/>
    <w:rsid w:val="00AF79DD"/>
    <w:rsid w:val="00AF7A5A"/>
    <w:rsid w:val="00AF7D21"/>
    <w:rsid w:val="00B00304"/>
    <w:rsid w:val="00B007B5"/>
    <w:rsid w:val="00B01B0B"/>
    <w:rsid w:val="00B01DE8"/>
    <w:rsid w:val="00B020FC"/>
    <w:rsid w:val="00B029DC"/>
    <w:rsid w:val="00B02BF3"/>
    <w:rsid w:val="00B04AAA"/>
    <w:rsid w:val="00B04CA1"/>
    <w:rsid w:val="00B0538C"/>
    <w:rsid w:val="00B05739"/>
    <w:rsid w:val="00B0615A"/>
    <w:rsid w:val="00B0633F"/>
    <w:rsid w:val="00B07A66"/>
    <w:rsid w:val="00B07DEA"/>
    <w:rsid w:val="00B07E08"/>
    <w:rsid w:val="00B1015B"/>
    <w:rsid w:val="00B10542"/>
    <w:rsid w:val="00B108A4"/>
    <w:rsid w:val="00B10CF2"/>
    <w:rsid w:val="00B10D5A"/>
    <w:rsid w:val="00B10F82"/>
    <w:rsid w:val="00B119B3"/>
    <w:rsid w:val="00B11EC7"/>
    <w:rsid w:val="00B11F4D"/>
    <w:rsid w:val="00B1248E"/>
    <w:rsid w:val="00B1261D"/>
    <w:rsid w:val="00B126ED"/>
    <w:rsid w:val="00B12901"/>
    <w:rsid w:val="00B13C42"/>
    <w:rsid w:val="00B13EA6"/>
    <w:rsid w:val="00B14138"/>
    <w:rsid w:val="00B14B61"/>
    <w:rsid w:val="00B14F73"/>
    <w:rsid w:val="00B15922"/>
    <w:rsid w:val="00B16127"/>
    <w:rsid w:val="00B16825"/>
    <w:rsid w:val="00B16912"/>
    <w:rsid w:val="00B16E95"/>
    <w:rsid w:val="00B1731D"/>
    <w:rsid w:val="00B17357"/>
    <w:rsid w:val="00B17A8F"/>
    <w:rsid w:val="00B17C15"/>
    <w:rsid w:val="00B201E5"/>
    <w:rsid w:val="00B208C4"/>
    <w:rsid w:val="00B20E50"/>
    <w:rsid w:val="00B210BD"/>
    <w:rsid w:val="00B211BA"/>
    <w:rsid w:val="00B215AD"/>
    <w:rsid w:val="00B21938"/>
    <w:rsid w:val="00B21971"/>
    <w:rsid w:val="00B21A6A"/>
    <w:rsid w:val="00B21CB0"/>
    <w:rsid w:val="00B22300"/>
    <w:rsid w:val="00B22914"/>
    <w:rsid w:val="00B2326F"/>
    <w:rsid w:val="00B238E0"/>
    <w:rsid w:val="00B240F7"/>
    <w:rsid w:val="00B2573E"/>
    <w:rsid w:val="00B25769"/>
    <w:rsid w:val="00B25B09"/>
    <w:rsid w:val="00B25ED8"/>
    <w:rsid w:val="00B25F36"/>
    <w:rsid w:val="00B2621F"/>
    <w:rsid w:val="00B26C4C"/>
    <w:rsid w:val="00B2735D"/>
    <w:rsid w:val="00B2780A"/>
    <w:rsid w:val="00B27ACA"/>
    <w:rsid w:val="00B27F07"/>
    <w:rsid w:val="00B30315"/>
    <w:rsid w:val="00B314F3"/>
    <w:rsid w:val="00B31842"/>
    <w:rsid w:val="00B3201D"/>
    <w:rsid w:val="00B336D9"/>
    <w:rsid w:val="00B343E1"/>
    <w:rsid w:val="00B34D32"/>
    <w:rsid w:val="00B34DCA"/>
    <w:rsid w:val="00B353FB"/>
    <w:rsid w:val="00B3566B"/>
    <w:rsid w:val="00B35B4A"/>
    <w:rsid w:val="00B361A4"/>
    <w:rsid w:val="00B364A9"/>
    <w:rsid w:val="00B3684F"/>
    <w:rsid w:val="00B37C02"/>
    <w:rsid w:val="00B400AA"/>
    <w:rsid w:val="00B40CB4"/>
    <w:rsid w:val="00B42601"/>
    <w:rsid w:val="00B42BC5"/>
    <w:rsid w:val="00B44248"/>
    <w:rsid w:val="00B45496"/>
    <w:rsid w:val="00B456AE"/>
    <w:rsid w:val="00B46070"/>
    <w:rsid w:val="00B46240"/>
    <w:rsid w:val="00B464E7"/>
    <w:rsid w:val="00B467DE"/>
    <w:rsid w:val="00B4735B"/>
    <w:rsid w:val="00B47394"/>
    <w:rsid w:val="00B4772C"/>
    <w:rsid w:val="00B50131"/>
    <w:rsid w:val="00B503F1"/>
    <w:rsid w:val="00B5075F"/>
    <w:rsid w:val="00B50BD5"/>
    <w:rsid w:val="00B50DAF"/>
    <w:rsid w:val="00B51615"/>
    <w:rsid w:val="00B52767"/>
    <w:rsid w:val="00B52D8E"/>
    <w:rsid w:val="00B52F31"/>
    <w:rsid w:val="00B537E9"/>
    <w:rsid w:val="00B544C4"/>
    <w:rsid w:val="00B5527D"/>
    <w:rsid w:val="00B55D48"/>
    <w:rsid w:val="00B55EF1"/>
    <w:rsid w:val="00B56054"/>
    <w:rsid w:val="00B5674A"/>
    <w:rsid w:val="00B569E8"/>
    <w:rsid w:val="00B571DF"/>
    <w:rsid w:val="00B60091"/>
    <w:rsid w:val="00B60E60"/>
    <w:rsid w:val="00B61D83"/>
    <w:rsid w:val="00B62585"/>
    <w:rsid w:val="00B62C06"/>
    <w:rsid w:val="00B62DE2"/>
    <w:rsid w:val="00B634BB"/>
    <w:rsid w:val="00B6389C"/>
    <w:rsid w:val="00B63A9E"/>
    <w:rsid w:val="00B63DFA"/>
    <w:rsid w:val="00B64BCA"/>
    <w:rsid w:val="00B658E9"/>
    <w:rsid w:val="00B660C8"/>
    <w:rsid w:val="00B66217"/>
    <w:rsid w:val="00B67370"/>
    <w:rsid w:val="00B678B7"/>
    <w:rsid w:val="00B678DB"/>
    <w:rsid w:val="00B67945"/>
    <w:rsid w:val="00B67CC1"/>
    <w:rsid w:val="00B67EE1"/>
    <w:rsid w:val="00B67FB6"/>
    <w:rsid w:val="00B7015D"/>
    <w:rsid w:val="00B70310"/>
    <w:rsid w:val="00B71987"/>
    <w:rsid w:val="00B72AF5"/>
    <w:rsid w:val="00B72FBB"/>
    <w:rsid w:val="00B73507"/>
    <w:rsid w:val="00B73BF0"/>
    <w:rsid w:val="00B73C4E"/>
    <w:rsid w:val="00B73C81"/>
    <w:rsid w:val="00B7490A"/>
    <w:rsid w:val="00B76CB4"/>
    <w:rsid w:val="00B81681"/>
    <w:rsid w:val="00B8220A"/>
    <w:rsid w:val="00B826DC"/>
    <w:rsid w:val="00B8335C"/>
    <w:rsid w:val="00B83B64"/>
    <w:rsid w:val="00B84BEA"/>
    <w:rsid w:val="00B85072"/>
    <w:rsid w:val="00B850D6"/>
    <w:rsid w:val="00B8555B"/>
    <w:rsid w:val="00B85843"/>
    <w:rsid w:val="00B8623D"/>
    <w:rsid w:val="00B86830"/>
    <w:rsid w:val="00B86852"/>
    <w:rsid w:val="00B86899"/>
    <w:rsid w:val="00B86940"/>
    <w:rsid w:val="00B86D31"/>
    <w:rsid w:val="00B86DD1"/>
    <w:rsid w:val="00B86F2C"/>
    <w:rsid w:val="00B8752B"/>
    <w:rsid w:val="00B8799C"/>
    <w:rsid w:val="00B87AB6"/>
    <w:rsid w:val="00B87ED0"/>
    <w:rsid w:val="00B901E4"/>
    <w:rsid w:val="00B90A95"/>
    <w:rsid w:val="00B90C17"/>
    <w:rsid w:val="00B911F8"/>
    <w:rsid w:val="00B91279"/>
    <w:rsid w:val="00B9127A"/>
    <w:rsid w:val="00B91F48"/>
    <w:rsid w:val="00B92116"/>
    <w:rsid w:val="00B92134"/>
    <w:rsid w:val="00B925AB"/>
    <w:rsid w:val="00B929B0"/>
    <w:rsid w:val="00B936EE"/>
    <w:rsid w:val="00B93C97"/>
    <w:rsid w:val="00B944DD"/>
    <w:rsid w:val="00B952BF"/>
    <w:rsid w:val="00B95386"/>
    <w:rsid w:val="00B95700"/>
    <w:rsid w:val="00B95AA0"/>
    <w:rsid w:val="00B95E17"/>
    <w:rsid w:val="00B96170"/>
    <w:rsid w:val="00B96B8D"/>
    <w:rsid w:val="00B97852"/>
    <w:rsid w:val="00BA0230"/>
    <w:rsid w:val="00BA035C"/>
    <w:rsid w:val="00BA0862"/>
    <w:rsid w:val="00BA0DFE"/>
    <w:rsid w:val="00BA148C"/>
    <w:rsid w:val="00BA1AAB"/>
    <w:rsid w:val="00BA25C8"/>
    <w:rsid w:val="00BA2886"/>
    <w:rsid w:val="00BA2E57"/>
    <w:rsid w:val="00BA33CF"/>
    <w:rsid w:val="00BA383E"/>
    <w:rsid w:val="00BA3DE4"/>
    <w:rsid w:val="00BA497A"/>
    <w:rsid w:val="00BA4B0F"/>
    <w:rsid w:val="00BA4D19"/>
    <w:rsid w:val="00BA532F"/>
    <w:rsid w:val="00BA55C0"/>
    <w:rsid w:val="00BA58AB"/>
    <w:rsid w:val="00BA6294"/>
    <w:rsid w:val="00BA7A1B"/>
    <w:rsid w:val="00BA7DE0"/>
    <w:rsid w:val="00BA7FEF"/>
    <w:rsid w:val="00BB0981"/>
    <w:rsid w:val="00BB09CB"/>
    <w:rsid w:val="00BB0A61"/>
    <w:rsid w:val="00BB0C35"/>
    <w:rsid w:val="00BB0D2E"/>
    <w:rsid w:val="00BB2803"/>
    <w:rsid w:val="00BB2EAB"/>
    <w:rsid w:val="00BB33B4"/>
    <w:rsid w:val="00BB3BCA"/>
    <w:rsid w:val="00BB4A07"/>
    <w:rsid w:val="00BB5291"/>
    <w:rsid w:val="00BB57F1"/>
    <w:rsid w:val="00BB58ED"/>
    <w:rsid w:val="00BB5A8F"/>
    <w:rsid w:val="00BB5E2F"/>
    <w:rsid w:val="00BB62DD"/>
    <w:rsid w:val="00BB6D27"/>
    <w:rsid w:val="00BB6D56"/>
    <w:rsid w:val="00BB75D1"/>
    <w:rsid w:val="00BB768A"/>
    <w:rsid w:val="00BB7AC6"/>
    <w:rsid w:val="00BB7E2B"/>
    <w:rsid w:val="00BC0021"/>
    <w:rsid w:val="00BC045D"/>
    <w:rsid w:val="00BC1606"/>
    <w:rsid w:val="00BC27CF"/>
    <w:rsid w:val="00BC2CC0"/>
    <w:rsid w:val="00BC2F65"/>
    <w:rsid w:val="00BC4096"/>
    <w:rsid w:val="00BC42D8"/>
    <w:rsid w:val="00BC45AB"/>
    <w:rsid w:val="00BC48AC"/>
    <w:rsid w:val="00BC5642"/>
    <w:rsid w:val="00BC5992"/>
    <w:rsid w:val="00BC5C26"/>
    <w:rsid w:val="00BC6059"/>
    <w:rsid w:val="00BD00D9"/>
    <w:rsid w:val="00BD08CA"/>
    <w:rsid w:val="00BD1BC5"/>
    <w:rsid w:val="00BD2285"/>
    <w:rsid w:val="00BD276E"/>
    <w:rsid w:val="00BD2FC6"/>
    <w:rsid w:val="00BD345D"/>
    <w:rsid w:val="00BD3B83"/>
    <w:rsid w:val="00BD40C5"/>
    <w:rsid w:val="00BD4C17"/>
    <w:rsid w:val="00BD5EF9"/>
    <w:rsid w:val="00BD713F"/>
    <w:rsid w:val="00BD7553"/>
    <w:rsid w:val="00BD7DA1"/>
    <w:rsid w:val="00BE0DA7"/>
    <w:rsid w:val="00BE0F85"/>
    <w:rsid w:val="00BE1487"/>
    <w:rsid w:val="00BE2B13"/>
    <w:rsid w:val="00BE32B3"/>
    <w:rsid w:val="00BE345C"/>
    <w:rsid w:val="00BE3E6C"/>
    <w:rsid w:val="00BE3FC3"/>
    <w:rsid w:val="00BE49FA"/>
    <w:rsid w:val="00BE4F2F"/>
    <w:rsid w:val="00BE5770"/>
    <w:rsid w:val="00BE638D"/>
    <w:rsid w:val="00BE6590"/>
    <w:rsid w:val="00BE6D05"/>
    <w:rsid w:val="00BE745B"/>
    <w:rsid w:val="00BF0EEA"/>
    <w:rsid w:val="00BF13E2"/>
    <w:rsid w:val="00BF1B1A"/>
    <w:rsid w:val="00BF3480"/>
    <w:rsid w:val="00BF37DF"/>
    <w:rsid w:val="00BF3D63"/>
    <w:rsid w:val="00BF3F41"/>
    <w:rsid w:val="00BF4E36"/>
    <w:rsid w:val="00BF5999"/>
    <w:rsid w:val="00BF5D3D"/>
    <w:rsid w:val="00BF5F5F"/>
    <w:rsid w:val="00BF66A4"/>
    <w:rsid w:val="00BF6A24"/>
    <w:rsid w:val="00BF6DFB"/>
    <w:rsid w:val="00BF6FB1"/>
    <w:rsid w:val="00BF7C0D"/>
    <w:rsid w:val="00C001FA"/>
    <w:rsid w:val="00C00993"/>
    <w:rsid w:val="00C00BEC"/>
    <w:rsid w:val="00C02644"/>
    <w:rsid w:val="00C02EBE"/>
    <w:rsid w:val="00C035EF"/>
    <w:rsid w:val="00C0427C"/>
    <w:rsid w:val="00C046A2"/>
    <w:rsid w:val="00C04C65"/>
    <w:rsid w:val="00C04E49"/>
    <w:rsid w:val="00C05128"/>
    <w:rsid w:val="00C05208"/>
    <w:rsid w:val="00C059B5"/>
    <w:rsid w:val="00C0704F"/>
    <w:rsid w:val="00C07ECF"/>
    <w:rsid w:val="00C07F69"/>
    <w:rsid w:val="00C10F21"/>
    <w:rsid w:val="00C11874"/>
    <w:rsid w:val="00C12B76"/>
    <w:rsid w:val="00C14433"/>
    <w:rsid w:val="00C14A28"/>
    <w:rsid w:val="00C14A9A"/>
    <w:rsid w:val="00C1553B"/>
    <w:rsid w:val="00C16C05"/>
    <w:rsid w:val="00C1742D"/>
    <w:rsid w:val="00C17628"/>
    <w:rsid w:val="00C17934"/>
    <w:rsid w:val="00C17B05"/>
    <w:rsid w:val="00C21677"/>
    <w:rsid w:val="00C21823"/>
    <w:rsid w:val="00C2192A"/>
    <w:rsid w:val="00C22E99"/>
    <w:rsid w:val="00C23081"/>
    <w:rsid w:val="00C23C31"/>
    <w:rsid w:val="00C24396"/>
    <w:rsid w:val="00C24E42"/>
    <w:rsid w:val="00C25075"/>
    <w:rsid w:val="00C2518D"/>
    <w:rsid w:val="00C25296"/>
    <w:rsid w:val="00C25B5B"/>
    <w:rsid w:val="00C25FE6"/>
    <w:rsid w:val="00C26227"/>
    <w:rsid w:val="00C26A74"/>
    <w:rsid w:val="00C27802"/>
    <w:rsid w:val="00C27A53"/>
    <w:rsid w:val="00C3135A"/>
    <w:rsid w:val="00C317CC"/>
    <w:rsid w:val="00C31BA8"/>
    <w:rsid w:val="00C31D3B"/>
    <w:rsid w:val="00C322D8"/>
    <w:rsid w:val="00C32B52"/>
    <w:rsid w:val="00C32CA0"/>
    <w:rsid w:val="00C333DA"/>
    <w:rsid w:val="00C33C8E"/>
    <w:rsid w:val="00C34543"/>
    <w:rsid w:val="00C34993"/>
    <w:rsid w:val="00C34AD0"/>
    <w:rsid w:val="00C34D28"/>
    <w:rsid w:val="00C35D66"/>
    <w:rsid w:val="00C37064"/>
    <w:rsid w:val="00C3715B"/>
    <w:rsid w:val="00C37712"/>
    <w:rsid w:val="00C379C7"/>
    <w:rsid w:val="00C37E84"/>
    <w:rsid w:val="00C37FD1"/>
    <w:rsid w:val="00C415DF"/>
    <w:rsid w:val="00C41A4C"/>
    <w:rsid w:val="00C41E5F"/>
    <w:rsid w:val="00C41F36"/>
    <w:rsid w:val="00C42C54"/>
    <w:rsid w:val="00C4326B"/>
    <w:rsid w:val="00C43E29"/>
    <w:rsid w:val="00C43F15"/>
    <w:rsid w:val="00C4413F"/>
    <w:rsid w:val="00C4458A"/>
    <w:rsid w:val="00C45A22"/>
    <w:rsid w:val="00C46631"/>
    <w:rsid w:val="00C47915"/>
    <w:rsid w:val="00C500C0"/>
    <w:rsid w:val="00C5017D"/>
    <w:rsid w:val="00C5049A"/>
    <w:rsid w:val="00C50DEC"/>
    <w:rsid w:val="00C51ACB"/>
    <w:rsid w:val="00C51E78"/>
    <w:rsid w:val="00C5320E"/>
    <w:rsid w:val="00C5517C"/>
    <w:rsid w:val="00C5543A"/>
    <w:rsid w:val="00C55531"/>
    <w:rsid w:val="00C566D6"/>
    <w:rsid w:val="00C5675F"/>
    <w:rsid w:val="00C56D70"/>
    <w:rsid w:val="00C57203"/>
    <w:rsid w:val="00C576B0"/>
    <w:rsid w:val="00C576DB"/>
    <w:rsid w:val="00C579DF"/>
    <w:rsid w:val="00C6034A"/>
    <w:rsid w:val="00C605D4"/>
    <w:rsid w:val="00C6063D"/>
    <w:rsid w:val="00C608BA"/>
    <w:rsid w:val="00C61915"/>
    <w:rsid w:val="00C61B47"/>
    <w:rsid w:val="00C61BD6"/>
    <w:rsid w:val="00C61D03"/>
    <w:rsid w:val="00C61EF0"/>
    <w:rsid w:val="00C633BC"/>
    <w:rsid w:val="00C6360D"/>
    <w:rsid w:val="00C638EF"/>
    <w:rsid w:val="00C640A6"/>
    <w:rsid w:val="00C6473A"/>
    <w:rsid w:val="00C65927"/>
    <w:rsid w:val="00C65B31"/>
    <w:rsid w:val="00C66400"/>
    <w:rsid w:val="00C675AC"/>
    <w:rsid w:val="00C679B4"/>
    <w:rsid w:val="00C7037A"/>
    <w:rsid w:val="00C710FD"/>
    <w:rsid w:val="00C71918"/>
    <w:rsid w:val="00C71B43"/>
    <w:rsid w:val="00C72B8E"/>
    <w:rsid w:val="00C73669"/>
    <w:rsid w:val="00C738E4"/>
    <w:rsid w:val="00C73B88"/>
    <w:rsid w:val="00C73DBD"/>
    <w:rsid w:val="00C7434D"/>
    <w:rsid w:val="00C7525B"/>
    <w:rsid w:val="00C75BC6"/>
    <w:rsid w:val="00C75D92"/>
    <w:rsid w:val="00C76148"/>
    <w:rsid w:val="00C76D2C"/>
    <w:rsid w:val="00C7716F"/>
    <w:rsid w:val="00C771A4"/>
    <w:rsid w:val="00C77460"/>
    <w:rsid w:val="00C77513"/>
    <w:rsid w:val="00C777B2"/>
    <w:rsid w:val="00C77BF2"/>
    <w:rsid w:val="00C77C23"/>
    <w:rsid w:val="00C80633"/>
    <w:rsid w:val="00C80682"/>
    <w:rsid w:val="00C80AA6"/>
    <w:rsid w:val="00C80EE9"/>
    <w:rsid w:val="00C81270"/>
    <w:rsid w:val="00C8128A"/>
    <w:rsid w:val="00C815A7"/>
    <w:rsid w:val="00C82BE9"/>
    <w:rsid w:val="00C83288"/>
    <w:rsid w:val="00C83637"/>
    <w:rsid w:val="00C83E37"/>
    <w:rsid w:val="00C84B54"/>
    <w:rsid w:val="00C84E56"/>
    <w:rsid w:val="00C85B85"/>
    <w:rsid w:val="00C85ED3"/>
    <w:rsid w:val="00C86D6B"/>
    <w:rsid w:val="00C87317"/>
    <w:rsid w:val="00C91366"/>
    <w:rsid w:val="00C91E8E"/>
    <w:rsid w:val="00C91F24"/>
    <w:rsid w:val="00C92CEA"/>
    <w:rsid w:val="00C92DD9"/>
    <w:rsid w:val="00C93869"/>
    <w:rsid w:val="00C943FE"/>
    <w:rsid w:val="00C949EA"/>
    <w:rsid w:val="00C94A9C"/>
    <w:rsid w:val="00C94C18"/>
    <w:rsid w:val="00C94D07"/>
    <w:rsid w:val="00C950F1"/>
    <w:rsid w:val="00C9516D"/>
    <w:rsid w:val="00C955C8"/>
    <w:rsid w:val="00C95CA4"/>
    <w:rsid w:val="00C96225"/>
    <w:rsid w:val="00C963EC"/>
    <w:rsid w:val="00C96637"/>
    <w:rsid w:val="00C9742B"/>
    <w:rsid w:val="00C97560"/>
    <w:rsid w:val="00C97B40"/>
    <w:rsid w:val="00CA04AB"/>
    <w:rsid w:val="00CA061F"/>
    <w:rsid w:val="00CA11EB"/>
    <w:rsid w:val="00CA15B3"/>
    <w:rsid w:val="00CA1D1C"/>
    <w:rsid w:val="00CA29E3"/>
    <w:rsid w:val="00CA37FC"/>
    <w:rsid w:val="00CA43FB"/>
    <w:rsid w:val="00CA4778"/>
    <w:rsid w:val="00CA4AE6"/>
    <w:rsid w:val="00CA4F4B"/>
    <w:rsid w:val="00CA56ED"/>
    <w:rsid w:val="00CA64F3"/>
    <w:rsid w:val="00CA683D"/>
    <w:rsid w:val="00CA68F2"/>
    <w:rsid w:val="00CA7C48"/>
    <w:rsid w:val="00CA7CE7"/>
    <w:rsid w:val="00CB04E4"/>
    <w:rsid w:val="00CB1686"/>
    <w:rsid w:val="00CB18EA"/>
    <w:rsid w:val="00CB19D0"/>
    <w:rsid w:val="00CB2F49"/>
    <w:rsid w:val="00CB36C6"/>
    <w:rsid w:val="00CB3AF2"/>
    <w:rsid w:val="00CB3B98"/>
    <w:rsid w:val="00CB4F80"/>
    <w:rsid w:val="00CB50D4"/>
    <w:rsid w:val="00CB5284"/>
    <w:rsid w:val="00CB5A20"/>
    <w:rsid w:val="00CB6338"/>
    <w:rsid w:val="00CB6459"/>
    <w:rsid w:val="00CB6EBF"/>
    <w:rsid w:val="00CB7EBD"/>
    <w:rsid w:val="00CC027D"/>
    <w:rsid w:val="00CC06C8"/>
    <w:rsid w:val="00CC157C"/>
    <w:rsid w:val="00CC17D1"/>
    <w:rsid w:val="00CC1A94"/>
    <w:rsid w:val="00CC214B"/>
    <w:rsid w:val="00CC294B"/>
    <w:rsid w:val="00CC37E1"/>
    <w:rsid w:val="00CC3CED"/>
    <w:rsid w:val="00CC47D1"/>
    <w:rsid w:val="00CC57C8"/>
    <w:rsid w:val="00CC5BA9"/>
    <w:rsid w:val="00CC7A74"/>
    <w:rsid w:val="00CD093C"/>
    <w:rsid w:val="00CD0A8B"/>
    <w:rsid w:val="00CD0E7C"/>
    <w:rsid w:val="00CD13C6"/>
    <w:rsid w:val="00CD1F71"/>
    <w:rsid w:val="00CD2432"/>
    <w:rsid w:val="00CD24CB"/>
    <w:rsid w:val="00CD252D"/>
    <w:rsid w:val="00CD32CA"/>
    <w:rsid w:val="00CD36B8"/>
    <w:rsid w:val="00CD3D11"/>
    <w:rsid w:val="00CD437F"/>
    <w:rsid w:val="00CD504C"/>
    <w:rsid w:val="00CD54AA"/>
    <w:rsid w:val="00CD5606"/>
    <w:rsid w:val="00CD569F"/>
    <w:rsid w:val="00CD58F2"/>
    <w:rsid w:val="00CD5A48"/>
    <w:rsid w:val="00CD60D1"/>
    <w:rsid w:val="00CD61F4"/>
    <w:rsid w:val="00CD7467"/>
    <w:rsid w:val="00CD75DA"/>
    <w:rsid w:val="00CD7C6A"/>
    <w:rsid w:val="00CE047A"/>
    <w:rsid w:val="00CE079E"/>
    <w:rsid w:val="00CE0A3A"/>
    <w:rsid w:val="00CE0FD2"/>
    <w:rsid w:val="00CE1189"/>
    <w:rsid w:val="00CE1609"/>
    <w:rsid w:val="00CE1997"/>
    <w:rsid w:val="00CE22A9"/>
    <w:rsid w:val="00CE2919"/>
    <w:rsid w:val="00CE339C"/>
    <w:rsid w:val="00CE4199"/>
    <w:rsid w:val="00CE4265"/>
    <w:rsid w:val="00CE457E"/>
    <w:rsid w:val="00CE4811"/>
    <w:rsid w:val="00CE4815"/>
    <w:rsid w:val="00CE52B1"/>
    <w:rsid w:val="00CE5374"/>
    <w:rsid w:val="00CE63BB"/>
    <w:rsid w:val="00CE6DCD"/>
    <w:rsid w:val="00CE6E73"/>
    <w:rsid w:val="00CF0992"/>
    <w:rsid w:val="00CF0EA9"/>
    <w:rsid w:val="00CF149D"/>
    <w:rsid w:val="00CF173B"/>
    <w:rsid w:val="00CF29EB"/>
    <w:rsid w:val="00CF30AF"/>
    <w:rsid w:val="00CF3800"/>
    <w:rsid w:val="00CF3F95"/>
    <w:rsid w:val="00CF5797"/>
    <w:rsid w:val="00CF5942"/>
    <w:rsid w:val="00CF6378"/>
    <w:rsid w:val="00CF6723"/>
    <w:rsid w:val="00D001C9"/>
    <w:rsid w:val="00D01925"/>
    <w:rsid w:val="00D0194A"/>
    <w:rsid w:val="00D01C13"/>
    <w:rsid w:val="00D02118"/>
    <w:rsid w:val="00D021BE"/>
    <w:rsid w:val="00D02381"/>
    <w:rsid w:val="00D0295A"/>
    <w:rsid w:val="00D035AB"/>
    <w:rsid w:val="00D03C8E"/>
    <w:rsid w:val="00D04288"/>
    <w:rsid w:val="00D042E3"/>
    <w:rsid w:val="00D04F70"/>
    <w:rsid w:val="00D05154"/>
    <w:rsid w:val="00D05912"/>
    <w:rsid w:val="00D06360"/>
    <w:rsid w:val="00D06A31"/>
    <w:rsid w:val="00D06EEC"/>
    <w:rsid w:val="00D07D77"/>
    <w:rsid w:val="00D07E68"/>
    <w:rsid w:val="00D07F0E"/>
    <w:rsid w:val="00D10632"/>
    <w:rsid w:val="00D10AA3"/>
    <w:rsid w:val="00D10DC8"/>
    <w:rsid w:val="00D10FDD"/>
    <w:rsid w:val="00D114D1"/>
    <w:rsid w:val="00D124EE"/>
    <w:rsid w:val="00D125EA"/>
    <w:rsid w:val="00D12BF3"/>
    <w:rsid w:val="00D12CD1"/>
    <w:rsid w:val="00D13414"/>
    <w:rsid w:val="00D13422"/>
    <w:rsid w:val="00D13816"/>
    <w:rsid w:val="00D13864"/>
    <w:rsid w:val="00D144B2"/>
    <w:rsid w:val="00D14A5D"/>
    <w:rsid w:val="00D15809"/>
    <w:rsid w:val="00D15CFB"/>
    <w:rsid w:val="00D15D21"/>
    <w:rsid w:val="00D160D0"/>
    <w:rsid w:val="00D1660F"/>
    <w:rsid w:val="00D16626"/>
    <w:rsid w:val="00D16E56"/>
    <w:rsid w:val="00D17DFA"/>
    <w:rsid w:val="00D206DA"/>
    <w:rsid w:val="00D20889"/>
    <w:rsid w:val="00D21003"/>
    <w:rsid w:val="00D212BB"/>
    <w:rsid w:val="00D21776"/>
    <w:rsid w:val="00D219BC"/>
    <w:rsid w:val="00D21C9F"/>
    <w:rsid w:val="00D234FE"/>
    <w:rsid w:val="00D23682"/>
    <w:rsid w:val="00D2470A"/>
    <w:rsid w:val="00D24787"/>
    <w:rsid w:val="00D25654"/>
    <w:rsid w:val="00D27D0A"/>
    <w:rsid w:val="00D27F94"/>
    <w:rsid w:val="00D30D72"/>
    <w:rsid w:val="00D312F9"/>
    <w:rsid w:val="00D32906"/>
    <w:rsid w:val="00D32EE6"/>
    <w:rsid w:val="00D32F3E"/>
    <w:rsid w:val="00D33453"/>
    <w:rsid w:val="00D33F1D"/>
    <w:rsid w:val="00D34044"/>
    <w:rsid w:val="00D343AD"/>
    <w:rsid w:val="00D34AB3"/>
    <w:rsid w:val="00D34DEA"/>
    <w:rsid w:val="00D35414"/>
    <w:rsid w:val="00D36296"/>
    <w:rsid w:val="00D3638A"/>
    <w:rsid w:val="00D36D08"/>
    <w:rsid w:val="00D37201"/>
    <w:rsid w:val="00D4050C"/>
    <w:rsid w:val="00D40B23"/>
    <w:rsid w:val="00D40DE7"/>
    <w:rsid w:val="00D40E49"/>
    <w:rsid w:val="00D4137B"/>
    <w:rsid w:val="00D41891"/>
    <w:rsid w:val="00D420D9"/>
    <w:rsid w:val="00D426D5"/>
    <w:rsid w:val="00D42FFB"/>
    <w:rsid w:val="00D431A9"/>
    <w:rsid w:val="00D432DA"/>
    <w:rsid w:val="00D43C0E"/>
    <w:rsid w:val="00D43E1B"/>
    <w:rsid w:val="00D43F06"/>
    <w:rsid w:val="00D44DB2"/>
    <w:rsid w:val="00D45195"/>
    <w:rsid w:val="00D45209"/>
    <w:rsid w:val="00D4561F"/>
    <w:rsid w:val="00D45D32"/>
    <w:rsid w:val="00D460BD"/>
    <w:rsid w:val="00D46285"/>
    <w:rsid w:val="00D464D9"/>
    <w:rsid w:val="00D466C5"/>
    <w:rsid w:val="00D46EC6"/>
    <w:rsid w:val="00D50158"/>
    <w:rsid w:val="00D50453"/>
    <w:rsid w:val="00D51156"/>
    <w:rsid w:val="00D51444"/>
    <w:rsid w:val="00D51834"/>
    <w:rsid w:val="00D518DD"/>
    <w:rsid w:val="00D52216"/>
    <w:rsid w:val="00D53846"/>
    <w:rsid w:val="00D53B26"/>
    <w:rsid w:val="00D542BE"/>
    <w:rsid w:val="00D549BA"/>
    <w:rsid w:val="00D54DDA"/>
    <w:rsid w:val="00D55894"/>
    <w:rsid w:val="00D55CD5"/>
    <w:rsid w:val="00D55FB9"/>
    <w:rsid w:val="00D56396"/>
    <w:rsid w:val="00D576F4"/>
    <w:rsid w:val="00D57D57"/>
    <w:rsid w:val="00D602CB"/>
    <w:rsid w:val="00D603C7"/>
    <w:rsid w:val="00D60738"/>
    <w:rsid w:val="00D60790"/>
    <w:rsid w:val="00D60845"/>
    <w:rsid w:val="00D6092F"/>
    <w:rsid w:val="00D61B2B"/>
    <w:rsid w:val="00D61EC0"/>
    <w:rsid w:val="00D61EDF"/>
    <w:rsid w:val="00D6215C"/>
    <w:rsid w:val="00D626DA"/>
    <w:rsid w:val="00D62C9C"/>
    <w:rsid w:val="00D62E48"/>
    <w:rsid w:val="00D63098"/>
    <w:rsid w:val="00D63656"/>
    <w:rsid w:val="00D6382C"/>
    <w:rsid w:val="00D646F9"/>
    <w:rsid w:val="00D649E8"/>
    <w:rsid w:val="00D64F4F"/>
    <w:rsid w:val="00D65284"/>
    <w:rsid w:val="00D652AD"/>
    <w:rsid w:val="00D656FE"/>
    <w:rsid w:val="00D666A6"/>
    <w:rsid w:val="00D66A9E"/>
    <w:rsid w:val="00D66C16"/>
    <w:rsid w:val="00D67361"/>
    <w:rsid w:val="00D674E7"/>
    <w:rsid w:val="00D67BA3"/>
    <w:rsid w:val="00D7020E"/>
    <w:rsid w:val="00D709CC"/>
    <w:rsid w:val="00D7199A"/>
    <w:rsid w:val="00D71C5E"/>
    <w:rsid w:val="00D71CA6"/>
    <w:rsid w:val="00D72543"/>
    <w:rsid w:val="00D72C20"/>
    <w:rsid w:val="00D74708"/>
    <w:rsid w:val="00D74856"/>
    <w:rsid w:val="00D749BD"/>
    <w:rsid w:val="00D74D62"/>
    <w:rsid w:val="00D74EA5"/>
    <w:rsid w:val="00D74F05"/>
    <w:rsid w:val="00D75D9D"/>
    <w:rsid w:val="00D75F71"/>
    <w:rsid w:val="00D761D7"/>
    <w:rsid w:val="00D7740B"/>
    <w:rsid w:val="00D77BD9"/>
    <w:rsid w:val="00D8089A"/>
    <w:rsid w:val="00D80CFF"/>
    <w:rsid w:val="00D80FE3"/>
    <w:rsid w:val="00D8133A"/>
    <w:rsid w:val="00D81E31"/>
    <w:rsid w:val="00D8269E"/>
    <w:rsid w:val="00D828D5"/>
    <w:rsid w:val="00D8347A"/>
    <w:rsid w:val="00D83707"/>
    <w:rsid w:val="00D83B7E"/>
    <w:rsid w:val="00D83E69"/>
    <w:rsid w:val="00D83F1D"/>
    <w:rsid w:val="00D84140"/>
    <w:rsid w:val="00D84EB0"/>
    <w:rsid w:val="00D8501C"/>
    <w:rsid w:val="00D850A7"/>
    <w:rsid w:val="00D857C0"/>
    <w:rsid w:val="00D85A15"/>
    <w:rsid w:val="00D85CD1"/>
    <w:rsid w:val="00D86A1A"/>
    <w:rsid w:val="00D86B05"/>
    <w:rsid w:val="00D86CD3"/>
    <w:rsid w:val="00D873F9"/>
    <w:rsid w:val="00D900C6"/>
    <w:rsid w:val="00D90A15"/>
    <w:rsid w:val="00D90CC1"/>
    <w:rsid w:val="00D916B2"/>
    <w:rsid w:val="00D92075"/>
    <w:rsid w:val="00D9247C"/>
    <w:rsid w:val="00D929A2"/>
    <w:rsid w:val="00D93B0C"/>
    <w:rsid w:val="00D94484"/>
    <w:rsid w:val="00D94FA9"/>
    <w:rsid w:val="00D96714"/>
    <w:rsid w:val="00D979F4"/>
    <w:rsid w:val="00D97C26"/>
    <w:rsid w:val="00D97D3E"/>
    <w:rsid w:val="00D97EE7"/>
    <w:rsid w:val="00D97F98"/>
    <w:rsid w:val="00DA0477"/>
    <w:rsid w:val="00DA0805"/>
    <w:rsid w:val="00DA104C"/>
    <w:rsid w:val="00DA292D"/>
    <w:rsid w:val="00DA3081"/>
    <w:rsid w:val="00DA3943"/>
    <w:rsid w:val="00DA3CA5"/>
    <w:rsid w:val="00DA4745"/>
    <w:rsid w:val="00DA5AED"/>
    <w:rsid w:val="00DA6237"/>
    <w:rsid w:val="00DA67C0"/>
    <w:rsid w:val="00DA68D1"/>
    <w:rsid w:val="00DA690D"/>
    <w:rsid w:val="00DA6E53"/>
    <w:rsid w:val="00DA6F84"/>
    <w:rsid w:val="00DA7938"/>
    <w:rsid w:val="00DA7AD3"/>
    <w:rsid w:val="00DB06B2"/>
    <w:rsid w:val="00DB1C67"/>
    <w:rsid w:val="00DB1D45"/>
    <w:rsid w:val="00DB224F"/>
    <w:rsid w:val="00DB2810"/>
    <w:rsid w:val="00DB2E2D"/>
    <w:rsid w:val="00DB3363"/>
    <w:rsid w:val="00DB35BE"/>
    <w:rsid w:val="00DB371C"/>
    <w:rsid w:val="00DB45BF"/>
    <w:rsid w:val="00DB47F0"/>
    <w:rsid w:val="00DB4BD2"/>
    <w:rsid w:val="00DB55A4"/>
    <w:rsid w:val="00DB59FC"/>
    <w:rsid w:val="00DB5AC3"/>
    <w:rsid w:val="00DB64BB"/>
    <w:rsid w:val="00DB65DE"/>
    <w:rsid w:val="00DB6E29"/>
    <w:rsid w:val="00DC09E4"/>
    <w:rsid w:val="00DC13A6"/>
    <w:rsid w:val="00DC2A9B"/>
    <w:rsid w:val="00DC300A"/>
    <w:rsid w:val="00DC40B3"/>
    <w:rsid w:val="00DC4B99"/>
    <w:rsid w:val="00DC548D"/>
    <w:rsid w:val="00DC59C0"/>
    <w:rsid w:val="00DC5EDE"/>
    <w:rsid w:val="00DC5EE6"/>
    <w:rsid w:val="00DC7226"/>
    <w:rsid w:val="00DC72D5"/>
    <w:rsid w:val="00DC735D"/>
    <w:rsid w:val="00DC79EC"/>
    <w:rsid w:val="00DC7D08"/>
    <w:rsid w:val="00DC7E30"/>
    <w:rsid w:val="00DC7E94"/>
    <w:rsid w:val="00DC7FA6"/>
    <w:rsid w:val="00DD0DBF"/>
    <w:rsid w:val="00DD13E4"/>
    <w:rsid w:val="00DD20CD"/>
    <w:rsid w:val="00DD214B"/>
    <w:rsid w:val="00DD224F"/>
    <w:rsid w:val="00DD246C"/>
    <w:rsid w:val="00DD2924"/>
    <w:rsid w:val="00DD398F"/>
    <w:rsid w:val="00DD5028"/>
    <w:rsid w:val="00DD545D"/>
    <w:rsid w:val="00DD5F58"/>
    <w:rsid w:val="00DD5F8A"/>
    <w:rsid w:val="00DD644F"/>
    <w:rsid w:val="00DD706D"/>
    <w:rsid w:val="00DD722F"/>
    <w:rsid w:val="00DD73FD"/>
    <w:rsid w:val="00DD7CEC"/>
    <w:rsid w:val="00DE04CA"/>
    <w:rsid w:val="00DE09A0"/>
    <w:rsid w:val="00DE0EAE"/>
    <w:rsid w:val="00DE0FDE"/>
    <w:rsid w:val="00DE1701"/>
    <w:rsid w:val="00DE1A08"/>
    <w:rsid w:val="00DE1F02"/>
    <w:rsid w:val="00DE210D"/>
    <w:rsid w:val="00DE21AC"/>
    <w:rsid w:val="00DE2FEC"/>
    <w:rsid w:val="00DE317B"/>
    <w:rsid w:val="00DE3EFC"/>
    <w:rsid w:val="00DE4E8F"/>
    <w:rsid w:val="00DE4F01"/>
    <w:rsid w:val="00DE5027"/>
    <w:rsid w:val="00DE5B2A"/>
    <w:rsid w:val="00DE5F00"/>
    <w:rsid w:val="00DE6166"/>
    <w:rsid w:val="00DE6E21"/>
    <w:rsid w:val="00DF0135"/>
    <w:rsid w:val="00DF0652"/>
    <w:rsid w:val="00DF0EBA"/>
    <w:rsid w:val="00DF1065"/>
    <w:rsid w:val="00DF13B0"/>
    <w:rsid w:val="00DF28E6"/>
    <w:rsid w:val="00DF29E6"/>
    <w:rsid w:val="00DF32C4"/>
    <w:rsid w:val="00DF3E89"/>
    <w:rsid w:val="00DF4B23"/>
    <w:rsid w:val="00DF50EF"/>
    <w:rsid w:val="00DF540F"/>
    <w:rsid w:val="00DF5AEA"/>
    <w:rsid w:val="00DF5C18"/>
    <w:rsid w:val="00DF5E02"/>
    <w:rsid w:val="00DF6A22"/>
    <w:rsid w:val="00DF6BC1"/>
    <w:rsid w:val="00DF72F9"/>
    <w:rsid w:val="00DF745B"/>
    <w:rsid w:val="00DF7DD9"/>
    <w:rsid w:val="00E00292"/>
    <w:rsid w:val="00E00F5E"/>
    <w:rsid w:val="00E01709"/>
    <w:rsid w:val="00E01960"/>
    <w:rsid w:val="00E01DCD"/>
    <w:rsid w:val="00E024AD"/>
    <w:rsid w:val="00E026DB"/>
    <w:rsid w:val="00E026F5"/>
    <w:rsid w:val="00E02DD1"/>
    <w:rsid w:val="00E03704"/>
    <w:rsid w:val="00E03DEA"/>
    <w:rsid w:val="00E048B7"/>
    <w:rsid w:val="00E04BAE"/>
    <w:rsid w:val="00E04C15"/>
    <w:rsid w:val="00E0558C"/>
    <w:rsid w:val="00E05C2E"/>
    <w:rsid w:val="00E069B3"/>
    <w:rsid w:val="00E06B37"/>
    <w:rsid w:val="00E07665"/>
    <w:rsid w:val="00E07A5D"/>
    <w:rsid w:val="00E07E27"/>
    <w:rsid w:val="00E102B1"/>
    <w:rsid w:val="00E10723"/>
    <w:rsid w:val="00E10C93"/>
    <w:rsid w:val="00E10E90"/>
    <w:rsid w:val="00E11AF4"/>
    <w:rsid w:val="00E1222E"/>
    <w:rsid w:val="00E12354"/>
    <w:rsid w:val="00E12384"/>
    <w:rsid w:val="00E126AA"/>
    <w:rsid w:val="00E13225"/>
    <w:rsid w:val="00E134A2"/>
    <w:rsid w:val="00E13581"/>
    <w:rsid w:val="00E14620"/>
    <w:rsid w:val="00E147A4"/>
    <w:rsid w:val="00E1485D"/>
    <w:rsid w:val="00E14D8D"/>
    <w:rsid w:val="00E14F8F"/>
    <w:rsid w:val="00E15040"/>
    <w:rsid w:val="00E153AD"/>
    <w:rsid w:val="00E157CB"/>
    <w:rsid w:val="00E15E58"/>
    <w:rsid w:val="00E1653D"/>
    <w:rsid w:val="00E16AFC"/>
    <w:rsid w:val="00E17881"/>
    <w:rsid w:val="00E21BF5"/>
    <w:rsid w:val="00E2211B"/>
    <w:rsid w:val="00E23560"/>
    <w:rsid w:val="00E24111"/>
    <w:rsid w:val="00E24F48"/>
    <w:rsid w:val="00E24FBE"/>
    <w:rsid w:val="00E2503D"/>
    <w:rsid w:val="00E25340"/>
    <w:rsid w:val="00E25499"/>
    <w:rsid w:val="00E254A9"/>
    <w:rsid w:val="00E258E9"/>
    <w:rsid w:val="00E25A42"/>
    <w:rsid w:val="00E25D81"/>
    <w:rsid w:val="00E2616B"/>
    <w:rsid w:val="00E26655"/>
    <w:rsid w:val="00E2722A"/>
    <w:rsid w:val="00E2759E"/>
    <w:rsid w:val="00E27A72"/>
    <w:rsid w:val="00E27CC1"/>
    <w:rsid w:val="00E27F4C"/>
    <w:rsid w:val="00E30009"/>
    <w:rsid w:val="00E30268"/>
    <w:rsid w:val="00E302A1"/>
    <w:rsid w:val="00E3033D"/>
    <w:rsid w:val="00E30A63"/>
    <w:rsid w:val="00E31225"/>
    <w:rsid w:val="00E32963"/>
    <w:rsid w:val="00E32EA3"/>
    <w:rsid w:val="00E33FCC"/>
    <w:rsid w:val="00E3413E"/>
    <w:rsid w:val="00E34590"/>
    <w:rsid w:val="00E34596"/>
    <w:rsid w:val="00E3473F"/>
    <w:rsid w:val="00E34C31"/>
    <w:rsid w:val="00E36656"/>
    <w:rsid w:val="00E36AFF"/>
    <w:rsid w:val="00E36B64"/>
    <w:rsid w:val="00E36EA5"/>
    <w:rsid w:val="00E370CE"/>
    <w:rsid w:val="00E3722D"/>
    <w:rsid w:val="00E4063C"/>
    <w:rsid w:val="00E419F5"/>
    <w:rsid w:val="00E41D52"/>
    <w:rsid w:val="00E4212F"/>
    <w:rsid w:val="00E42E67"/>
    <w:rsid w:val="00E438C8"/>
    <w:rsid w:val="00E43E29"/>
    <w:rsid w:val="00E44718"/>
    <w:rsid w:val="00E44C42"/>
    <w:rsid w:val="00E45DDD"/>
    <w:rsid w:val="00E47166"/>
    <w:rsid w:val="00E47505"/>
    <w:rsid w:val="00E506A6"/>
    <w:rsid w:val="00E50A02"/>
    <w:rsid w:val="00E50FEB"/>
    <w:rsid w:val="00E515DB"/>
    <w:rsid w:val="00E516B2"/>
    <w:rsid w:val="00E51B48"/>
    <w:rsid w:val="00E51E1A"/>
    <w:rsid w:val="00E529DA"/>
    <w:rsid w:val="00E53088"/>
    <w:rsid w:val="00E541B7"/>
    <w:rsid w:val="00E5434E"/>
    <w:rsid w:val="00E55D86"/>
    <w:rsid w:val="00E56170"/>
    <w:rsid w:val="00E605FF"/>
    <w:rsid w:val="00E606E0"/>
    <w:rsid w:val="00E61053"/>
    <w:rsid w:val="00E617EA"/>
    <w:rsid w:val="00E62FD9"/>
    <w:rsid w:val="00E6423E"/>
    <w:rsid w:val="00E65A93"/>
    <w:rsid w:val="00E663C8"/>
    <w:rsid w:val="00E6666B"/>
    <w:rsid w:val="00E66AE5"/>
    <w:rsid w:val="00E66D09"/>
    <w:rsid w:val="00E66E74"/>
    <w:rsid w:val="00E6746A"/>
    <w:rsid w:val="00E674A4"/>
    <w:rsid w:val="00E67A8B"/>
    <w:rsid w:val="00E67E7B"/>
    <w:rsid w:val="00E70B39"/>
    <w:rsid w:val="00E70BD9"/>
    <w:rsid w:val="00E70C93"/>
    <w:rsid w:val="00E71341"/>
    <w:rsid w:val="00E71BD1"/>
    <w:rsid w:val="00E7378C"/>
    <w:rsid w:val="00E74DE9"/>
    <w:rsid w:val="00E75AA6"/>
    <w:rsid w:val="00E7617D"/>
    <w:rsid w:val="00E76A07"/>
    <w:rsid w:val="00E76FE4"/>
    <w:rsid w:val="00E7753A"/>
    <w:rsid w:val="00E77DEF"/>
    <w:rsid w:val="00E77FE5"/>
    <w:rsid w:val="00E813DF"/>
    <w:rsid w:val="00E819F4"/>
    <w:rsid w:val="00E822D9"/>
    <w:rsid w:val="00E82D5B"/>
    <w:rsid w:val="00E82F9F"/>
    <w:rsid w:val="00E83579"/>
    <w:rsid w:val="00E84E8D"/>
    <w:rsid w:val="00E85A31"/>
    <w:rsid w:val="00E85DC7"/>
    <w:rsid w:val="00E86176"/>
    <w:rsid w:val="00E86D0A"/>
    <w:rsid w:val="00E86D10"/>
    <w:rsid w:val="00E87C54"/>
    <w:rsid w:val="00E90D4F"/>
    <w:rsid w:val="00E9126C"/>
    <w:rsid w:val="00E9168B"/>
    <w:rsid w:val="00E9234E"/>
    <w:rsid w:val="00E92A55"/>
    <w:rsid w:val="00E92B53"/>
    <w:rsid w:val="00E92B89"/>
    <w:rsid w:val="00E92E72"/>
    <w:rsid w:val="00E937B1"/>
    <w:rsid w:val="00E94A44"/>
    <w:rsid w:val="00E94CEA"/>
    <w:rsid w:val="00E951C2"/>
    <w:rsid w:val="00E9530A"/>
    <w:rsid w:val="00E962E2"/>
    <w:rsid w:val="00E96345"/>
    <w:rsid w:val="00E9666F"/>
    <w:rsid w:val="00E966A5"/>
    <w:rsid w:val="00E96816"/>
    <w:rsid w:val="00E96A32"/>
    <w:rsid w:val="00E97DC2"/>
    <w:rsid w:val="00EA035F"/>
    <w:rsid w:val="00EA1062"/>
    <w:rsid w:val="00EA1AD7"/>
    <w:rsid w:val="00EA1B07"/>
    <w:rsid w:val="00EA1E60"/>
    <w:rsid w:val="00EA1F13"/>
    <w:rsid w:val="00EA3B1F"/>
    <w:rsid w:val="00EA47F8"/>
    <w:rsid w:val="00EA4934"/>
    <w:rsid w:val="00EA59C7"/>
    <w:rsid w:val="00EA5E63"/>
    <w:rsid w:val="00EB0286"/>
    <w:rsid w:val="00EB0A60"/>
    <w:rsid w:val="00EB0F10"/>
    <w:rsid w:val="00EB1091"/>
    <w:rsid w:val="00EB11C3"/>
    <w:rsid w:val="00EB14AE"/>
    <w:rsid w:val="00EB1517"/>
    <w:rsid w:val="00EB1633"/>
    <w:rsid w:val="00EB27DD"/>
    <w:rsid w:val="00EB2C0E"/>
    <w:rsid w:val="00EB31CE"/>
    <w:rsid w:val="00EB3431"/>
    <w:rsid w:val="00EB40DC"/>
    <w:rsid w:val="00EB5F55"/>
    <w:rsid w:val="00EB7FA8"/>
    <w:rsid w:val="00EC031A"/>
    <w:rsid w:val="00EC0810"/>
    <w:rsid w:val="00EC0BD6"/>
    <w:rsid w:val="00EC14F8"/>
    <w:rsid w:val="00EC15C8"/>
    <w:rsid w:val="00EC1816"/>
    <w:rsid w:val="00EC184E"/>
    <w:rsid w:val="00EC2955"/>
    <w:rsid w:val="00EC365A"/>
    <w:rsid w:val="00EC568C"/>
    <w:rsid w:val="00EC570C"/>
    <w:rsid w:val="00EC57E4"/>
    <w:rsid w:val="00EC5A34"/>
    <w:rsid w:val="00EC73A0"/>
    <w:rsid w:val="00EC78B5"/>
    <w:rsid w:val="00ED13FF"/>
    <w:rsid w:val="00ED1A38"/>
    <w:rsid w:val="00ED1EA7"/>
    <w:rsid w:val="00ED211B"/>
    <w:rsid w:val="00ED2497"/>
    <w:rsid w:val="00ED2BCF"/>
    <w:rsid w:val="00ED2BDE"/>
    <w:rsid w:val="00ED3415"/>
    <w:rsid w:val="00ED4639"/>
    <w:rsid w:val="00ED46C2"/>
    <w:rsid w:val="00ED5010"/>
    <w:rsid w:val="00ED5111"/>
    <w:rsid w:val="00ED5C32"/>
    <w:rsid w:val="00ED5EFF"/>
    <w:rsid w:val="00ED6427"/>
    <w:rsid w:val="00ED668D"/>
    <w:rsid w:val="00ED6776"/>
    <w:rsid w:val="00ED6D47"/>
    <w:rsid w:val="00ED6F48"/>
    <w:rsid w:val="00ED70F4"/>
    <w:rsid w:val="00ED72B0"/>
    <w:rsid w:val="00ED77BC"/>
    <w:rsid w:val="00EE01B3"/>
    <w:rsid w:val="00EE05EC"/>
    <w:rsid w:val="00EE0B97"/>
    <w:rsid w:val="00EE1428"/>
    <w:rsid w:val="00EE1985"/>
    <w:rsid w:val="00EE19F8"/>
    <w:rsid w:val="00EE1B3C"/>
    <w:rsid w:val="00EE2297"/>
    <w:rsid w:val="00EE23ED"/>
    <w:rsid w:val="00EE254D"/>
    <w:rsid w:val="00EE3606"/>
    <w:rsid w:val="00EE3634"/>
    <w:rsid w:val="00EE3932"/>
    <w:rsid w:val="00EE3AE7"/>
    <w:rsid w:val="00EE4711"/>
    <w:rsid w:val="00EE4C7B"/>
    <w:rsid w:val="00EE4D50"/>
    <w:rsid w:val="00EE554E"/>
    <w:rsid w:val="00EE55CB"/>
    <w:rsid w:val="00EE5905"/>
    <w:rsid w:val="00EE5A2B"/>
    <w:rsid w:val="00EE5BA8"/>
    <w:rsid w:val="00EE5BCD"/>
    <w:rsid w:val="00EE6242"/>
    <w:rsid w:val="00EE7014"/>
    <w:rsid w:val="00EE7671"/>
    <w:rsid w:val="00EF02F1"/>
    <w:rsid w:val="00EF106C"/>
    <w:rsid w:val="00EF18BD"/>
    <w:rsid w:val="00EF27C9"/>
    <w:rsid w:val="00EF2905"/>
    <w:rsid w:val="00EF2A9F"/>
    <w:rsid w:val="00EF2AA2"/>
    <w:rsid w:val="00EF3305"/>
    <w:rsid w:val="00EF3694"/>
    <w:rsid w:val="00EF3DBB"/>
    <w:rsid w:val="00EF4E9F"/>
    <w:rsid w:val="00EF5621"/>
    <w:rsid w:val="00EF5C98"/>
    <w:rsid w:val="00EF6139"/>
    <w:rsid w:val="00EF6846"/>
    <w:rsid w:val="00EF6A3F"/>
    <w:rsid w:val="00EF6CCE"/>
    <w:rsid w:val="00EF7402"/>
    <w:rsid w:val="00EF7EBB"/>
    <w:rsid w:val="00F00581"/>
    <w:rsid w:val="00F00BF6"/>
    <w:rsid w:val="00F01B2A"/>
    <w:rsid w:val="00F020FC"/>
    <w:rsid w:val="00F026ED"/>
    <w:rsid w:val="00F02715"/>
    <w:rsid w:val="00F02D55"/>
    <w:rsid w:val="00F04A80"/>
    <w:rsid w:val="00F04ED0"/>
    <w:rsid w:val="00F05C4D"/>
    <w:rsid w:val="00F05D3D"/>
    <w:rsid w:val="00F06275"/>
    <w:rsid w:val="00F06336"/>
    <w:rsid w:val="00F066C5"/>
    <w:rsid w:val="00F06EA3"/>
    <w:rsid w:val="00F079DE"/>
    <w:rsid w:val="00F07D09"/>
    <w:rsid w:val="00F101FF"/>
    <w:rsid w:val="00F10593"/>
    <w:rsid w:val="00F13047"/>
    <w:rsid w:val="00F13424"/>
    <w:rsid w:val="00F1349C"/>
    <w:rsid w:val="00F13C0C"/>
    <w:rsid w:val="00F148E4"/>
    <w:rsid w:val="00F14A6B"/>
    <w:rsid w:val="00F14EC4"/>
    <w:rsid w:val="00F1529F"/>
    <w:rsid w:val="00F157E0"/>
    <w:rsid w:val="00F1631E"/>
    <w:rsid w:val="00F16CB8"/>
    <w:rsid w:val="00F17A6C"/>
    <w:rsid w:val="00F17FD9"/>
    <w:rsid w:val="00F2001C"/>
    <w:rsid w:val="00F20291"/>
    <w:rsid w:val="00F20302"/>
    <w:rsid w:val="00F20457"/>
    <w:rsid w:val="00F204AF"/>
    <w:rsid w:val="00F20723"/>
    <w:rsid w:val="00F20980"/>
    <w:rsid w:val="00F20A38"/>
    <w:rsid w:val="00F211B3"/>
    <w:rsid w:val="00F21717"/>
    <w:rsid w:val="00F2189F"/>
    <w:rsid w:val="00F21A34"/>
    <w:rsid w:val="00F21C2C"/>
    <w:rsid w:val="00F22186"/>
    <w:rsid w:val="00F221D8"/>
    <w:rsid w:val="00F2254C"/>
    <w:rsid w:val="00F22983"/>
    <w:rsid w:val="00F22B95"/>
    <w:rsid w:val="00F22F8C"/>
    <w:rsid w:val="00F23175"/>
    <w:rsid w:val="00F23561"/>
    <w:rsid w:val="00F23617"/>
    <w:rsid w:val="00F2397A"/>
    <w:rsid w:val="00F24660"/>
    <w:rsid w:val="00F24B84"/>
    <w:rsid w:val="00F24FC5"/>
    <w:rsid w:val="00F25903"/>
    <w:rsid w:val="00F269A9"/>
    <w:rsid w:val="00F26AD9"/>
    <w:rsid w:val="00F27232"/>
    <w:rsid w:val="00F274CE"/>
    <w:rsid w:val="00F274CF"/>
    <w:rsid w:val="00F27774"/>
    <w:rsid w:val="00F278A3"/>
    <w:rsid w:val="00F279E6"/>
    <w:rsid w:val="00F27BB7"/>
    <w:rsid w:val="00F27E43"/>
    <w:rsid w:val="00F27E60"/>
    <w:rsid w:val="00F27E78"/>
    <w:rsid w:val="00F31290"/>
    <w:rsid w:val="00F31689"/>
    <w:rsid w:val="00F317A5"/>
    <w:rsid w:val="00F31BAF"/>
    <w:rsid w:val="00F32D3D"/>
    <w:rsid w:val="00F34B0D"/>
    <w:rsid w:val="00F369C3"/>
    <w:rsid w:val="00F369E2"/>
    <w:rsid w:val="00F4052A"/>
    <w:rsid w:val="00F40779"/>
    <w:rsid w:val="00F40A22"/>
    <w:rsid w:val="00F416F9"/>
    <w:rsid w:val="00F41CB1"/>
    <w:rsid w:val="00F420A6"/>
    <w:rsid w:val="00F428B0"/>
    <w:rsid w:val="00F43300"/>
    <w:rsid w:val="00F4436B"/>
    <w:rsid w:val="00F44C35"/>
    <w:rsid w:val="00F4503E"/>
    <w:rsid w:val="00F4529F"/>
    <w:rsid w:val="00F45357"/>
    <w:rsid w:val="00F454A4"/>
    <w:rsid w:val="00F45830"/>
    <w:rsid w:val="00F46895"/>
    <w:rsid w:val="00F468BA"/>
    <w:rsid w:val="00F46EAB"/>
    <w:rsid w:val="00F46EFB"/>
    <w:rsid w:val="00F50579"/>
    <w:rsid w:val="00F506CC"/>
    <w:rsid w:val="00F50701"/>
    <w:rsid w:val="00F512A1"/>
    <w:rsid w:val="00F5158D"/>
    <w:rsid w:val="00F51607"/>
    <w:rsid w:val="00F520EA"/>
    <w:rsid w:val="00F52978"/>
    <w:rsid w:val="00F52A58"/>
    <w:rsid w:val="00F52AC7"/>
    <w:rsid w:val="00F52C46"/>
    <w:rsid w:val="00F52C57"/>
    <w:rsid w:val="00F52D53"/>
    <w:rsid w:val="00F5484B"/>
    <w:rsid w:val="00F5551A"/>
    <w:rsid w:val="00F559F9"/>
    <w:rsid w:val="00F5614D"/>
    <w:rsid w:val="00F561F3"/>
    <w:rsid w:val="00F572DE"/>
    <w:rsid w:val="00F57313"/>
    <w:rsid w:val="00F57AE0"/>
    <w:rsid w:val="00F57BFB"/>
    <w:rsid w:val="00F57CC1"/>
    <w:rsid w:val="00F61317"/>
    <w:rsid w:val="00F61573"/>
    <w:rsid w:val="00F61A79"/>
    <w:rsid w:val="00F62BE6"/>
    <w:rsid w:val="00F63C1F"/>
    <w:rsid w:val="00F643F2"/>
    <w:rsid w:val="00F6504E"/>
    <w:rsid w:val="00F6558A"/>
    <w:rsid w:val="00F66311"/>
    <w:rsid w:val="00F671CB"/>
    <w:rsid w:val="00F67294"/>
    <w:rsid w:val="00F678DD"/>
    <w:rsid w:val="00F67945"/>
    <w:rsid w:val="00F701DB"/>
    <w:rsid w:val="00F7033A"/>
    <w:rsid w:val="00F70351"/>
    <w:rsid w:val="00F704D9"/>
    <w:rsid w:val="00F70CB1"/>
    <w:rsid w:val="00F71649"/>
    <w:rsid w:val="00F722B9"/>
    <w:rsid w:val="00F73021"/>
    <w:rsid w:val="00F7328E"/>
    <w:rsid w:val="00F7361A"/>
    <w:rsid w:val="00F736F9"/>
    <w:rsid w:val="00F741F7"/>
    <w:rsid w:val="00F7454B"/>
    <w:rsid w:val="00F76256"/>
    <w:rsid w:val="00F773AE"/>
    <w:rsid w:val="00F77466"/>
    <w:rsid w:val="00F776D0"/>
    <w:rsid w:val="00F77DA5"/>
    <w:rsid w:val="00F77ED3"/>
    <w:rsid w:val="00F80183"/>
    <w:rsid w:val="00F803AC"/>
    <w:rsid w:val="00F8051D"/>
    <w:rsid w:val="00F80589"/>
    <w:rsid w:val="00F81016"/>
    <w:rsid w:val="00F81131"/>
    <w:rsid w:val="00F81E5C"/>
    <w:rsid w:val="00F820F4"/>
    <w:rsid w:val="00F82E64"/>
    <w:rsid w:val="00F838CA"/>
    <w:rsid w:val="00F8416A"/>
    <w:rsid w:val="00F8425A"/>
    <w:rsid w:val="00F8459E"/>
    <w:rsid w:val="00F845EB"/>
    <w:rsid w:val="00F846BD"/>
    <w:rsid w:val="00F8474E"/>
    <w:rsid w:val="00F84B5D"/>
    <w:rsid w:val="00F84D64"/>
    <w:rsid w:val="00F85122"/>
    <w:rsid w:val="00F860E9"/>
    <w:rsid w:val="00F87965"/>
    <w:rsid w:val="00F87C3D"/>
    <w:rsid w:val="00F87C7C"/>
    <w:rsid w:val="00F91D2E"/>
    <w:rsid w:val="00F92A9F"/>
    <w:rsid w:val="00F92C31"/>
    <w:rsid w:val="00F9445D"/>
    <w:rsid w:val="00F948D6"/>
    <w:rsid w:val="00F949AE"/>
    <w:rsid w:val="00F95F9A"/>
    <w:rsid w:val="00F96854"/>
    <w:rsid w:val="00F96BDA"/>
    <w:rsid w:val="00F97402"/>
    <w:rsid w:val="00F97A8D"/>
    <w:rsid w:val="00F97DD6"/>
    <w:rsid w:val="00FA059F"/>
    <w:rsid w:val="00FA0695"/>
    <w:rsid w:val="00FA09EA"/>
    <w:rsid w:val="00FA0A0F"/>
    <w:rsid w:val="00FA0A56"/>
    <w:rsid w:val="00FA0D10"/>
    <w:rsid w:val="00FA1385"/>
    <w:rsid w:val="00FA3820"/>
    <w:rsid w:val="00FA3B8D"/>
    <w:rsid w:val="00FA453A"/>
    <w:rsid w:val="00FA5568"/>
    <w:rsid w:val="00FA592A"/>
    <w:rsid w:val="00FA5E7E"/>
    <w:rsid w:val="00FA6939"/>
    <w:rsid w:val="00FA6F80"/>
    <w:rsid w:val="00FA7D5B"/>
    <w:rsid w:val="00FA7EFE"/>
    <w:rsid w:val="00FB069B"/>
    <w:rsid w:val="00FB0BEB"/>
    <w:rsid w:val="00FB125E"/>
    <w:rsid w:val="00FB1415"/>
    <w:rsid w:val="00FB17E7"/>
    <w:rsid w:val="00FB185D"/>
    <w:rsid w:val="00FB1E46"/>
    <w:rsid w:val="00FB28A1"/>
    <w:rsid w:val="00FB3BFB"/>
    <w:rsid w:val="00FB42CC"/>
    <w:rsid w:val="00FB532B"/>
    <w:rsid w:val="00FB5E8A"/>
    <w:rsid w:val="00FB5EA0"/>
    <w:rsid w:val="00FB610D"/>
    <w:rsid w:val="00FB6CA1"/>
    <w:rsid w:val="00FB7124"/>
    <w:rsid w:val="00FB7AE0"/>
    <w:rsid w:val="00FB7C28"/>
    <w:rsid w:val="00FB7EF1"/>
    <w:rsid w:val="00FB7FCD"/>
    <w:rsid w:val="00FC0D63"/>
    <w:rsid w:val="00FC0FE0"/>
    <w:rsid w:val="00FC138A"/>
    <w:rsid w:val="00FC1872"/>
    <w:rsid w:val="00FC19B3"/>
    <w:rsid w:val="00FC1BFE"/>
    <w:rsid w:val="00FC2889"/>
    <w:rsid w:val="00FC31E5"/>
    <w:rsid w:val="00FC33AF"/>
    <w:rsid w:val="00FC3707"/>
    <w:rsid w:val="00FC3B01"/>
    <w:rsid w:val="00FC3D6C"/>
    <w:rsid w:val="00FC4A20"/>
    <w:rsid w:val="00FC4A3F"/>
    <w:rsid w:val="00FC4E94"/>
    <w:rsid w:val="00FC57A2"/>
    <w:rsid w:val="00FC6612"/>
    <w:rsid w:val="00FC73AD"/>
    <w:rsid w:val="00FC73E3"/>
    <w:rsid w:val="00FC768C"/>
    <w:rsid w:val="00FC76C4"/>
    <w:rsid w:val="00FC7A41"/>
    <w:rsid w:val="00FC7D00"/>
    <w:rsid w:val="00FC7EBC"/>
    <w:rsid w:val="00FD0792"/>
    <w:rsid w:val="00FD0D33"/>
    <w:rsid w:val="00FD1361"/>
    <w:rsid w:val="00FD1458"/>
    <w:rsid w:val="00FD22D5"/>
    <w:rsid w:val="00FD269E"/>
    <w:rsid w:val="00FD2AD0"/>
    <w:rsid w:val="00FD368C"/>
    <w:rsid w:val="00FD386B"/>
    <w:rsid w:val="00FD4646"/>
    <w:rsid w:val="00FD479E"/>
    <w:rsid w:val="00FD522B"/>
    <w:rsid w:val="00FD5EDC"/>
    <w:rsid w:val="00FD5F28"/>
    <w:rsid w:val="00FD601D"/>
    <w:rsid w:val="00FD6255"/>
    <w:rsid w:val="00FD64A2"/>
    <w:rsid w:val="00FD70CE"/>
    <w:rsid w:val="00FD719C"/>
    <w:rsid w:val="00FD76F7"/>
    <w:rsid w:val="00FD7A92"/>
    <w:rsid w:val="00FD7FAD"/>
    <w:rsid w:val="00FE01C6"/>
    <w:rsid w:val="00FE0480"/>
    <w:rsid w:val="00FE0AA6"/>
    <w:rsid w:val="00FE16D4"/>
    <w:rsid w:val="00FE1793"/>
    <w:rsid w:val="00FE23AD"/>
    <w:rsid w:val="00FE297C"/>
    <w:rsid w:val="00FE40E6"/>
    <w:rsid w:val="00FE4407"/>
    <w:rsid w:val="00FE4986"/>
    <w:rsid w:val="00FE56C0"/>
    <w:rsid w:val="00FE694F"/>
    <w:rsid w:val="00FE7CF2"/>
    <w:rsid w:val="00FF0328"/>
    <w:rsid w:val="00FF0A34"/>
    <w:rsid w:val="00FF0C4E"/>
    <w:rsid w:val="00FF0C78"/>
    <w:rsid w:val="00FF186B"/>
    <w:rsid w:val="00FF196E"/>
    <w:rsid w:val="00FF1B0A"/>
    <w:rsid w:val="00FF1BBE"/>
    <w:rsid w:val="00FF1C6C"/>
    <w:rsid w:val="00FF1D17"/>
    <w:rsid w:val="00FF1DD0"/>
    <w:rsid w:val="00FF22FD"/>
    <w:rsid w:val="00FF3557"/>
    <w:rsid w:val="00FF3C0A"/>
    <w:rsid w:val="00FF5793"/>
    <w:rsid w:val="00FF593F"/>
    <w:rsid w:val="00FF6049"/>
    <w:rsid w:val="00FF633B"/>
    <w:rsid w:val="00FF63C4"/>
    <w:rsid w:val="00FF6C01"/>
    <w:rsid w:val="00FF7328"/>
    <w:rsid w:val="00FF7C63"/>
    <w:rsid w:val="00FF7D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DF25A9"/>
  <w15:docId w15:val="{7D57D4D4-A8A0-4825-B137-831E8F70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Simplified Arabic"/>
        <w:sz w:val="28"/>
        <w:szCs w:val="28"/>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48D"/>
    <w:pPr>
      <w:bidi/>
    </w:pPr>
  </w:style>
  <w:style w:type="paragraph" w:styleId="Heading1">
    <w:name w:val="heading 1"/>
    <w:basedOn w:val="Normal"/>
    <w:next w:val="Normal"/>
    <w:link w:val="Heading1Char"/>
    <w:uiPriority w:val="9"/>
    <w:qFormat/>
    <w:rsid w:val="002B2F51"/>
    <w:pPr>
      <w:keepNext/>
      <w:keepLines/>
      <w:spacing w:before="240"/>
      <w:ind w:left="720" w:hanging="720"/>
      <w:jc w:val="lowKashida"/>
      <w:outlineLvl w:val="0"/>
    </w:pPr>
    <w:rPr>
      <w:rFonts w:ascii="Impact" w:eastAsiaTheme="majorEastAsia" w:hAnsi="Impact" w:cs="GE Jarida Heavy"/>
      <w:sz w:val="26"/>
      <w:szCs w:val="32"/>
    </w:rPr>
  </w:style>
  <w:style w:type="paragraph" w:styleId="Heading2">
    <w:name w:val="heading 2"/>
    <w:basedOn w:val="Normal"/>
    <w:next w:val="Normal"/>
    <w:link w:val="Heading2Char"/>
    <w:uiPriority w:val="9"/>
    <w:unhideWhenUsed/>
    <w:qFormat/>
    <w:rsid w:val="000E1830"/>
    <w:pPr>
      <w:keepNext/>
      <w:keepLines/>
      <w:spacing w:before="120"/>
      <w:ind w:left="720" w:hanging="720"/>
      <w:jc w:val="lowKashida"/>
      <w:outlineLvl w:val="1"/>
    </w:pPr>
    <w:rPr>
      <w:rFonts w:ascii="Arial Black" w:eastAsiaTheme="majorEastAsia" w:hAnsi="Arial Black" w:cs="SKR HEAD1"/>
      <w:sz w:val="22"/>
      <w:szCs w:val="30"/>
    </w:rPr>
  </w:style>
  <w:style w:type="paragraph" w:styleId="Heading3">
    <w:name w:val="heading 3"/>
    <w:basedOn w:val="Normal"/>
    <w:next w:val="Normal"/>
    <w:link w:val="Heading3Char"/>
    <w:unhideWhenUsed/>
    <w:qFormat/>
    <w:rsid w:val="006924DD"/>
    <w:pPr>
      <w:keepNext/>
      <w:keepLines/>
      <w:spacing w:before="200"/>
      <w:ind w:left="720" w:hanging="720"/>
      <w:jc w:val="lowKashida"/>
      <w:outlineLvl w:val="2"/>
    </w:pPr>
    <w:rPr>
      <w:rFonts w:ascii="Arial Black" w:eastAsiaTheme="majorEastAsia" w:hAnsi="Arial Black" w:cs="Malik Lt BT"/>
      <w:bCs/>
      <w:sz w:val="22"/>
      <w:szCs w:val="26"/>
    </w:rPr>
  </w:style>
  <w:style w:type="paragraph" w:styleId="Heading4">
    <w:name w:val="heading 4"/>
    <w:basedOn w:val="Normal"/>
    <w:next w:val="Normal"/>
    <w:link w:val="Heading4Char"/>
    <w:uiPriority w:val="9"/>
    <w:qFormat/>
    <w:rsid w:val="00EC15C8"/>
    <w:pPr>
      <w:keepNext/>
      <w:keepLines/>
      <w:tabs>
        <w:tab w:val="num" w:pos="0"/>
      </w:tabs>
      <w:spacing w:before="200"/>
      <w:ind w:left="864" w:hanging="864"/>
      <w:outlineLvl w:val="3"/>
    </w:pPr>
    <w:rPr>
      <w:rFonts w:cs="Monotype Koufi"/>
      <w:b/>
      <w:bCs/>
      <w:sz w:val="26"/>
    </w:rPr>
  </w:style>
  <w:style w:type="paragraph" w:styleId="Heading5">
    <w:name w:val="heading 5"/>
    <w:basedOn w:val="Normal"/>
    <w:next w:val="Normal"/>
    <w:link w:val="Heading5Char"/>
    <w:uiPriority w:val="9"/>
    <w:qFormat/>
    <w:rsid w:val="00EC15C8"/>
    <w:pPr>
      <w:keepNext/>
      <w:keepLines/>
      <w:tabs>
        <w:tab w:val="num" w:pos="0"/>
      </w:tabs>
      <w:spacing w:before="200"/>
      <w:ind w:left="1008" w:hanging="1008"/>
      <w:outlineLvl w:val="4"/>
    </w:pPr>
    <w:rPr>
      <w:b/>
      <w:bCs/>
      <w:sz w:val="30"/>
      <w:szCs w:val="30"/>
    </w:rPr>
  </w:style>
  <w:style w:type="paragraph" w:styleId="Heading6">
    <w:name w:val="heading 6"/>
    <w:basedOn w:val="Normal"/>
    <w:next w:val="Normal"/>
    <w:link w:val="Heading6Char"/>
    <w:uiPriority w:val="9"/>
    <w:qFormat/>
    <w:rsid w:val="00EF27C9"/>
    <w:pPr>
      <w:keepNext/>
      <w:keepLines/>
      <w:tabs>
        <w:tab w:val="num" w:pos="0"/>
      </w:tabs>
      <w:spacing w:before="200"/>
      <w:ind w:left="1152" w:hanging="1152"/>
      <w:outlineLvl w:val="5"/>
    </w:pPr>
    <w:rPr>
      <w:rFonts w:ascii="Cambria" w:hAnsi="Cambria" w:cs="Times New Roman"/>
      <w:i/>
      <w:iCs/>
      <w:color w:val="243F60"/>
      <w:sz w:val="24"/>
      <w:szCs w:val="24"/>
    </w:rPr>
  </w:style>
  <w:style w:type="paragraph" w:styleId="Heading7">
    <w:name w:val="heading 7"/>
    <w:basedOn w:val="Normal"/>
    <w:next w:val="Normal"/>
    <w:link w:val="Heading7Char"/>
    <w:uiPriority w:val="9"/>
    <w:qFormat/>
    <w:rsid w:val="00EF27C9"/>
    <w:pPr>
      <w:keepNext/>
      <w:keepLines/>
      <w:tabs>
        <w:tab w:val="num" w:pos="0"/>
      </w:tabs>
      <w:spacing w:before="200"/>
      <w:ind w:left="1296" w:hanging="1296"/>
      <w:outlineLvl w:val="6"/>
    </w:pPr>
    <w:rPr>
      <w:rFonts w:ascii="Cambria" w:hAnsi="Cambria" w:cs="Times New Roman"/>
      <w:i/>
      <w:iCs/>
      <w:color w:val="404040"/>
      <w:sz w:val="24"/>
      <w:szCs w:val="24"/>
    </w:rPr>
  </w:style>
  <w:style w:type="paragraph" w:styleId="Heading8">
    <w:name w:val="heading 8"/>
    <w:basedOn w:val="Normal"/>
    <w:next w:val="Normal"/>
    <w:link w:val="Heading8Char"/>
    <w:uiPriority w:val="9"/>
    <w:qFormat/>
    <w:rsid w:val="00EF27C9"/>
    <w:pPr>
      <w:keepNext/>
      <w:keepLines/>
      <w:tabs>
        <w:tab w:val="num" w:pos="0"/>
      </w:tabs>
      <w:spacing w:before="200"/>
      <w:ind w:left="1440" w:hanging="144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EF27C9"/>
    <w:pPr>
      <w:keepNext/>
      <w:keepLines/>
      <w:tabs>
        <w:tab w:val="num" w:pos="0"/>
      </w:tabs>
      <w:spacing w:before="200"/>
      <w:ind w:left="1584" w:hanging="1584"/>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F51"/>
    <w:rPr>
      <w:rFonts w:ascii="Impact" w:eastAsiaTheme="majorEastAsia" w:hAnsi="Impact" w:cs="GE Jarida Heavy"/>
      <w:sz w:val="26"/>
      <w:szCs w:val="32"/>
    </w:rPr>
  </w:style>
  <w:style w:type="character" w:customStyle="1" w:styleId="Heading2Char">
    <w:name w:val="Heading 2 Char"/>
    <w:basedOn w:val="DefaultParagraphFont"/>
    <w:link w:val="Heading2"/>
    <w:uiPriority w:val="9"/>
    <w:rsid w:val="000E1830"/>
    <w:rPr>
      <w:rFonts w:ascii="Arial Black" w:eastAsiaTheme="majorEastAsia" w:hAnsi="Arial Black" w:cs="SKR HEAD1"/>
      <w:sz w:val="22"/>
      <w:szCs w:val="30"/>
    </w:rPr>
  </w:style>
  <w:style w:type="character" w:customStyle="1" w:styleId="Heading3Char">
    <w:name w:val="Heading 3 Char"/>
    <w:basedOn w:val="DefaultParagraphFont"/>
    <w:link w:val="Heading3"/>
    <w:rsid w:val="006924DD"/>
    <w:rPr>
      <w:rFonts w:ascii="Arial Black" w:eastAsiaTheme="majorEastAsia" w:hAnsi="Arial Black" w:cs="Malik Lt BT"/>
      <w:bCs/>
      <w:sz w:val="22"/>
      <w:szCs w:val="26"/>
    </w:rPr>
  </w:style>
  <w:style w:type="character" w:customStyle="1" w:styleId="Heading4Char">
    <w:name w:val="Heading 4 Char"/>
    <w:basedOn w:val="DefaultParagraphFont"/>
    <w:link w:val="Heading4"/>
    <w:uiPriority w:val="9"/>
    <w:rsid w:val="00EC15C8"/>
    <w:rPr>
      <w:rFonts w:cs="Monotype Koufi"/>
      <w:b/>
      <w:bCs/>
      <w:sz w:val="26"/>
    </w:rPr>
  </w:style>
  <w:style w:type="character" w:customStyle="1" w:styleId="Heading5Char">
    <w:name w:val="Heading 5 Char"/>
    <w:basedOn w:val="DefaultParagraphFont"/>
    <w:link w:val="Heading5"/>
    <w:uiPriority w:val="9"/>
    <w:rsid w:val="00EC15C8"/>
    <w:rPr>
      <w:b/>
      <w:bCs/>
      <w:sz w:val="30"/>
      <w:szCs w:val="30"/>
    </w:rPr>
  </w:style>
  <w:style w:type="character" w:customStyle="1" w:styleId="Heading6Char">
    <w:name w:val="Heading 6 Char"/>
    <w:basedOn w:val="DefaultParagraphFont"/>
    <w:link w:val="Heading6"/>
    <w:uiPriority w:val="9"/>
    <w:rsid w:val="00EF27C9"/>
    <w:rPr>
      <w:rFonts w:ascii="Cambria" w:hAnsi="Cambria" w:cs="Times New Roman"/>
      <w:i/>
      <w:iCs/>
      <w:color w:val="243F60"/>
      <w:sz w:val="24"/>
      <w:szCs w:val="24"/>
    </w:rPr>
  </w:style>
  <w:style w:type="character" w:customStyle="1" w:styleId="Heading7Char">
    <w:name w:val="Heading 7 Char"/>
    <w:basedOn w:val="DefaultParagraphFont"/>
    <w:link w:val="Heading7"/>
    <w:uiPriority w:val="9"/>
    <w:rsid w:val="00EF27C9"/>
    <w:rPr>
      <w:rFonts w:ascii="Cambria" w:hAnsi="Cambria" w:cs="Times New Roman"/>
      <w:i/>
      <w:iCs/>
      <w:color w:val="404040"/>
      <w:sz w:val="24"/>
      <w:szCs w:val="24"/>
    </w:rPr>
  </w:style>
  <w:style w:type="character" w:customStyle="1" w:styleId="Heading8Char">
    <w:name w:val="Heading 8 Char"/>
    <w:basedOn w:val="DefaultParagraphFont"/>
    <w:link w:val="Heading8"/>
    <w:uiPriority w:val="9"/>
    <w:rsid w:val="00EF27C9"/>
    <w:rPr>
      <w:rFonts w:ascii="Cambria" w:hAnsi="Cambria" w:cs="Times New Roman"/>
      <w:color w:val="404040"/>
      <w:sz w:val="20"/>
      <w:szCs w:val="20"/>
    </w:rPr>
  </w:style>
  <w:style w:type="character" w:customStyle="1" w:styleId="Heading9Char">
    <w:name w:val="Heading 9 Char"/>
    <w:basedOn w:val="DefaultParagraphFont"/>
    <w:link w:val="Heading9"/>
    <w:uiPriority w:val="9"/>
    <w:rsid w:val="00EF27C9"/>
    <w:rPr>
      <w:rFonts w:ascii="Cambria" w:hAnsi="Cambria" w:cs="Times New Roman"/>
      <w:i/>
      <w:iCs/>
      <w:color w:val="404040"/>
      <w:sz w:val="20"/>
      <w:szCs w:val="20"/>
    </w:rPr>
  </w:style>
  <w:style w:type="paragraph" w:styleId="Header">
    <w:name w:val="header"/>
    <w:basedOn w:val="Normal"/>
    <w:link w:val="HeaderChar"/>
    <w:uiPriority w:val="99"/>
    <w:rsid w:val="00F00BF6"/>
    <w:pPr>
      <w:tabs>
        <w:tab w:val="center" w:pos="4153"/>
        <w:tab w:val="right" w:pos="8306"/>
      </w:tabs>
    </w:pPr>
  </w:style>
  <w:style w:type="character" w:customStyle="1" w:styleId="HeaderChar">
    <w:name w:val="Header Char"/>
    <w:basedOn w:val="DefaultParagraphFont"/>
    <w:link w:val="Header"/>
    <w:uiPriority w:val="99"/>
    <w:rsid w:val="00F00BF6"/>
    <w:rPr>
      <w:sz w:val="24"/>
      <w:szCs w:val="24"/>
    </w:rPr>
  </w:style>
  <w:style w:type="paragraph" w:styleId="Footer">
    <w:name w:val="footer"/>
    <w:basedOn w:val="Normal"/>
    <w:link w:val="FooterChar"/>
    <w:uiPriority w:val="99"/>
    <w:rsid w:val="00F00BF6"/>
    <w:pPr>
      <w:tabs>
        <w:tab w:val="center" w:pos="4153"/>
        <w:tab w:val="right" w:pos="8306"/>
      </w:tabs>
    </w:pPr>
  </w:style>
  <w:style w:type="character" w:customStyle="1" w:styleId="FooterChar">
    <w:name w:val="Footer Char"/>
    <w:basedOn w:val="DefaultParagraphFont"/>
    <w:link w:val="Footer"/>
    <w:uiPriority w:val="99"/>
    <w:rsid w:val="00F00BF6"/>
    <w:rPr>
      <w:sz w:val="24"/>
      <w:szCs w:val="24"/>
    </w:rPr>
  </w:style>
  <w:style w:type="character" w:styleId="PlaceholderText">
    <w:name w:val="Placeholder Text"/>
    <w:basedOn w:val="DefaultParagraphFont"/>
    <w:uiPriority w:val="99"/>
    <w:semiHidden/>
    <w:rsid w:val="008D199E"/>
    <w:rPr>
      <w:color w:val="808080"/>
    </w:rPr>
  </w:style>
  <w:style w:type="paragraph" w:styleId="BalloonText">
    <w:name w:val="Balloon Text"/>
    <w:basedOn w:val="Normal"/>
    <w:link w:val="BalloonTextChar"/>
    <w:uiPriority w:val="99"/>
    <w:rsid w:val="008D199E"/>
    <w:rPr>
      <w:rFonts w:ascii="Tahoma" w:hAnsi="Tahoma" w:cs="Tahoma"/>
      <w:sz w:val="16"/>
      <w:szCs w:val="16"/>
    </w:rPr>
  </w:style>
  <w:style w:type="character" w:customStyle="1" w:styleId="BalloonTextChar">
    <w:name w:val="Balloon Text Char"/>
    <w:basedOn w:val="DefaultParagraphFont"/>
    <w:link w:val="BalloonText"/>
    <w:uiPriority w:val="99"/>
    <w:rsid w:val="008D199E"/>
    <w:rPr>
      <w:rFonts w:ascii="Tahoma" w:hAnsi="Tahoma" w:cs="Tahoma"/>
      <w:sz w:val="16"/>
      <w:szCs w:val="16"/>
    </w:rPr>
  </w:style>
  <w:style w:type="paragraph" w:styleId="ListParagraph">
    <w:name w:val="List Paragraph"/>
    <w:basedOn w:val="Normal"/>
    <w:link w:val="ListParagraphChar"/>
    <w:uiPriority w:val="34"/>
    <w:qFormat/>
    <w:rsid w:val="00723A59"/>
    <w:pPr>
      <w:ind w:left="720"/>
      <w:contextualSpacing/>
    </w:pPr>
  </w:style>
  <w:style w:type="paragraph" w:styleId="FootnoteText">
    <w:name w:val="footnote text"/>
    <w:aliases w:val="نص حاشية سفلية Char Char, Char,Char Char,Char Char Char Char Char Char Char Char Char Char Char Char Char Char Char Char Char Char Char Char Char,Char Char Char Char Char Char Char Char Char Char Char Char Char Char,Char, Char Char Char"/>
    <w:basedOn w:val="Normal"/>
    <w:link w:val="FootnoteTextChar"/>
    <w:uiPriority w:val="99"/>
    <w:unhideWhenUsed/>
    <w:rsid w:val="00875FB4"/>
    <w:rPr>
      <w:rFonts w:asciiTheme="minorHAnsi" w:eastAsiaTheme="minorEastAsia" w:hAnsiTheme="minorHAnsi" w:cstheme="minorBidi"/>
      <w:sz w:val="20"/>
      <w:szCs w:val="20"/>
    </w:rPr>
  </w:style>
  <w:style w:type="character" w:customStyle="1" w:styleId="FootnoteTextChar">
    <w:name w:val="Footnote Text Char"/>
    <w:aliases w:val="نص حاشية سفلية Char Char Char, Char Char,Char Char Char,Char Char Char Char Char Char Char Char Char Char Char Char Char Char Char Char Char Char Char Char Char Char,Char Char1, Char Char Char Char"/>
    <w:basedOn w:val="DefaultParagraphFont"/>
    <w:link w:val="FootnoteText"/>
    <w:uiPriority w:val="99"/>
    <w:rsid w:val="00875FB4"/>
    <w:rPr>
      <w:rFonts w:asciiTheme="minorHAnsi" w:eastAsiaTheme="minorEastAsia" w:hAnsiTheme="minorHAnsi" w:cstheme="minorBidi"/>
      <w:sz w:val="20"/>
      <w:szCs w:val="20"/>
    </w:rPr>
  </w:style>
  <w:style w:type="character" w:styleId="FootnoteReference">
    <w:name w:val="footnote reference"/>
    <w:basedOn w:val="DefaultParagraphFont"/>
    <w:uiPriority w:val="99"/>
    <w:unhideWhenUsed/>
    <w:rsid w:val="00875FB4"/>
    <w:rPr>
      <w:vertAlign w:val="superscript"/>
    </w:rPr>
  </w:style>
  <w:style w:type="table" w:styleId="TableGrid">
    <w:name w:val="Table Grid"/>
    <w:basedOn w:val="TableNormal"/>
    <w:uiPriority w:val="59"/>
    <w:rsid w:val="00817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5912"/>
  </w:style>
  <w:style w:type="character" w:styleId="Emphasis">
    <w:name w:val="Emphasis"/>
    <w:basedOn w:val="DefaultParagraphFont"/>
    <w:qFormat/>
    <w:rsid w:val="00D05912"/>
    <w:rPr>
      <w:i/>
      <w:iCs/>
    </w:rPr>
  </w:style>
  <w:style w:type="paragraph" w:styleId="Subtitle">
    <w:name w:val="Subtitle"/>
    <w:basedOn w:val="Normal"/>
    <w:next w:val="Normal"/>
    <w:link w:val="SubtitleChar"/>
    <w:uiPriority w:val="11"/>
    <w:qFormat/>
    <w:rsid w:val="00D05912"/>
    <w:pPr>
      <w:numPr>
        <w:ilvl w:val="1"/>
      </w:numPr>
      <w:bidi w:val="0"/>
      <w:spacing w:line="276" w:lineRule="auto"/>
      <w:jc w:val="lowKashida"/>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5912"/>
    <w:rPr>
      <w:rFonts w:asciiTheme="majorHAnsi" w:eastAsiaTheme="majorEastAsia" w:hAnsiTheme="majorHAnsi" w:cstheme="majorBidi"/>
      <w:i/>
      <w:iCs/>
      <w:color w:val="4F81BD" w:themeColor="accent1"/>
      <w:spacing w:val="15"/>
      <w:sz w:val="24"/>
      <w:szCs w:val="24"/>
    </w:rPr>
  </w:style>
  <w:style w:type="character" w:customStyle="1" w:styleId="shorttext">
    <w:name w:val="short_text"/>
    <w:basedOn w:val="DefaultParagraphFont"/>
    <w:rsid w:val="00D05912"/>
  </w:style>
  <w:style w:type="character" w:customStyle="1" w:styleId="hps">
    <w:name w:val="hps"/>
    <w:basedOn w:val="DefaultParagraphFont"/>
    <w:rsid w:val="00D05912"/>
  </w:style>
  <w:style w:type="paragraph" w:styleId="Title">
    <w:name w:val="Title"/>
    <w:basedOn w:val="Normal"/>
    <w:next w:val="Normal"/>
    <w:link w:val="TitleChar"/>
    <w:uiPriority w:val="10"/>
    <w:qFormat/>
    <w:rsid w:val="00D05912"/>
    <w:pPr>
      <w:pBdr>
        <w:bottom w:val="single" w:sz="8" w:space="4" w:color="4F81BD" w:themeColor="accent1"/>
      </w:pBdr>
      <w:bidi w:val="0"/>
      <w:spacing w:after="300"/>
      <w:contextualSpacing/>
      <w:jc w:val="lowKashida"/>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5912"/>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rsid w:val="00D05912"/>
  </w:style>
  <w:style w:type="character" w:customStyle="1" w:styleId="longtext">
    <w:name w:val="long_text"/>
    <w:basedOn w:val="DefaultParagraphFont"/>
    <w:rsid w:val="00997A35"/>
    <w:rPr>
      <w:rFonts w:cs="Times New Roman"/>
    </w:rPr>
  </w:style>
  <w:style w:type="paragraph" w:customStyle="1" w:styleId="a">
    <w:name w:val="نص الرسالة"/>
    <w:basedOn w:val="BodyText"/>
    <w:rsid w:val="00997A35"/>
    <w:pPr>
      <w:autoSpaceDE w:val="0"/>
      <w:autoSpaceDN w:val="0"/>
      <w:spacing w:before="120" w:after="0"/>
      <w:ind w:firstLine="567"/>
    </w:pPr>
    <w:rPr>
      <w:rFonts w:eastAsia="SimSun" w:cs="Simplified Arabic"/>
      <w:sz w:val="28"/>
      <w:szCs w:val="28"/>
      <w:lang w:eastAsia="zh-CN"/>
    </w:rPr>
  </w:style>
  <w:style w:type="paragraph" w:styleId="BodyText">
    <w:name w:val="Body Text"/>
    <w:basedOn w:val="Normal"/>
    <w:link w:val="BodyTextChar"/>
    <w:rsid w:val="00997A35"/>
    <w:pPr>
      <w:spacing w:after="120"/>
    </w:pPr>
    <w:rPr>
      <w:rFonts w:cs="Times New Roman"/>
      <w:sz w:val="24"/>
      <w:szCs w:val="24"/>
    </w:rPr>
  </w:style>
  <w:style w:type="character" w:customStyle="1" w:styleId="BodyTextChar">
    <w:name w:val="Body Text Char"/>
    <w:basedOn w:val="DefaultParagraphFont"/>
    <w:link w:val="BodyText"/>
    <w:rsid w:val="00997A35"/>
    <w:rPr>
      <w:rFonts w:cs="Times New Roman"/>
      <w:sz w:val="24"/>
      <w:szCs w:val="24"/>
    </w:rPr>
  </w:style>
  <w:style w:type="paragraph" w:styleId="BodyTextIndent">
    <w:name w:val="Body Text Indent"/>
    <w:basedOn w:val="Normal"/>
    <w:link w:val="BodyTextIndentChar"/>
    <w:uiPriority w:val="99"/>
    <w:rsid w:val="00997A35"/>
    <w:pPr>
      <w:spacing w:after="120"/>
      <w:ind w:left="283"/>
    </w:pPr>
    <w:rPr>
      <w:rFonts w:cs="Times New Roman"/>
      <w:sz w:val="24"/>
      <w:szCs w:val="24"/>
    </w:rPr>
  </w:style>
  <w:style w:type="character" w:customStyle="1" w:styleId="BodyTextIndentChar">
    <w:name w:val="Body Text Indent Char"/>
    <w:basedOn w:val="DefaultParagraphFont"/>
    <w:link w:val="BodyTextIndent"/>
    <w:uiPriority w:val="99"/>
    <w:rsid w:val="00997A35"/>
    <w:rPr>
      <w:rFonts w:cs="Times New Roman"/>
      <w:sz w:val="24"/>
      <w:szCs w:val="24"/>
    </w:rPr>
  </w:style>
  <w:style w:type="paragraph" w:customStyle="1" w:styleId="Style1">
    <w:name w:val="Style1"/>
    <w:basedOn w:val="BodyText2"/>
    <w:rsid w:val="00997A35"/>
    <w:pPr>
      <w:spacing w:after="0" w:line="240" w:lineRule="auto"/>
      <w:ind w:left="284" w:hanging="284"/>
      <w:jc w:val="lowKashida"/>
    </w:pPr>
  </w:style>
  <w:style w:type="paragraph" w:styleId="BodyText2">
    <w:name w:val="Body Text 2"/>
    <w:basedOn w:val="Normal"/>
    <w:link w:val="BodyText2Char"/>
    <w:uiPriority w:val="99"/>
    <w:rsid w:val="00997A35"/>
    <w:pPr>
      <w:spacing w:after="120" w:line="480" w:lineRule="auto"/>
    </w:pPr>
  </w:style>
  <w:style w:type="character" w:customStyle="1" w:styleId="BodyText2Char">
    <w:name w:val="Body Text 2 Char"/>
    <w:basedOn w:val="DefaultParagraphFont"/>
    <w:link w:val="BodyText2"/>
    <w:uiPriority w:val="99"/>
    <w:rsid w:val="00997A35"/>
  </w:style>
  <w:style w:type="character" w:customStyle="1" w:styleId="hpsatn">
    <w:name w:val="hps atn"/>
    <w:basedOn w:val="DefaultParagraphFont"/>
    <w:rsid w:val="00EF27C9"/>
    <w:rPr>
      <w:rFonts w:cs="Times New Roman"/>
    </w:rPr>
  </w:style>
  <w:style w:type="character" w:styleId="Strong">
    <w:name w:val="Strong"/>
    <w:basedOn w:val="DefaultParagraphFont"/>
    <w:uiPriority w:val="99"/>
    <w:qFormat/>
    <w:rsid w:val="00EF27C9"/>
    <w:rPr>
      <w:rFonts w:cs="Times New Roman"/>
      <w:b/>
      <w:bCs/>
    </w:rPr>
  </w:style>
  <w:style w:type="paragraph" w:customStyle="1" w:styleId="Default">
    <w:name w:val="Default"/>
    <w:rsid w:val="00EF27C9"/>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EF27C9"/>
    <w:rPr>
      <w:rFonts w:cs="Times New Roman"/>
      <w:color w:val="0000FF"/>
      <w:u w:val="single"/>
    </w:rPr>
  </w:style>
  <w:style w:type="character" w:customStyle="1" w:styleId="t1">
    <w:name w:val="t1"/>
    <w:basedOn w:val="DefaultParagraphFont"/>
    <w:rsid w:val="00EF27C9"/>
    <w:rPr>
      <w:rFonts w:cs="Times New Roman"/>
    </w:rPr>
  </w:style>
  <w:style w:type="paragraph" w:styleId="BodyTextIndent2">
    <w:name w:val="Body Text Indent 2"/>
    <w:basedOn w:val="Normal"/>
    <w:link w:val="BodyTextIndent2Char"/>
    <w:uiPriority w:val="99"/>
    <w:unhideWhenUsed/>
    <w:rsid w:val="00EF27C9"/>
    <w:pPr>
      <w:bidi w:val="0"/>
      <w:spacing w:after="120" w:line="480" w:lineRule="auto"/>
      <w:ind w:left="360"/>
    </w:pPr>
    <w:rPr>
      <w:rFonts w:asciiTheme="minorHAnsi" w:hAnsiTheme="minorHAnsi" w:cs="Arial"/>
      <w:sz w:val="22"/>
      <w:szCs w:val="22"/>
    </w:rPr>
  </w:style>
  <w:style w:type="character" w:customStyle="1" w:styleId="BodyTextIndent2Char">
    <w:name w:val="Body Text Indent 2 Char"/>
    <w:basedOn w:val="DefaultParagraphFont"/>
    <w:link w:val="BodyTextIndent2"/>
    <w:uiPriority w:val="99"/>
    <w:rsid w:val="00EF27C9"/>
    <w:rPr>
      <w:rFonts w:asciiTheme="minorHAnsi" w:hAnsiTheme="minorHAnsi" w:cs="Arial"/>
      <w:sz w:val="22"/>
      <w:szCs w:val="22"/>
    </w:rPr>
  </w:style>
  <w:style w:type="paragraph" w:customStyle="1" w:styleId="a0">
    <w:name w:val="سرد الفقرات"/>
    <w:basedOn w:val="Normal"/>
    <w:qFormat/>
    <w:rsid w:val="002B2F51"/>
    <w:pPr>
      <w:spacing w:after="200" w:line="276" w:lineRule="auto"/>
      <w:ind w:left="720"/>
      <w:contextualSpacing/>
    </w:pPr>
    <w:rPr>
      <w:rFonts w:ascii="Calibri" w:hAnsi="Calibri" w:cs="Arial"/>
      <w:sz w:val="22"/>
      <w:szCs w:val="22"/>
    </w:rPr>
  </w:style>
  <w:style w:type="paragraph" w:customStyle="1" w:styleId="a1">
    <w:name w:val="نص"/>
    <w:basedOn w:val="Normal"/>
    <w:rsid w:val="002B2F51"/>
    <w:pPr>
      <w:spacing w:before="120"/>
      <w:ind w:firstLine="516"/>
      <w:jc w:val="lowKashida"/>
    </w:pPr>
    <w:rPr>
      <w:rFonts w:cs="Traditional Arabic"/>
      <w:sz w:val="38"/>
      <w:szCs w:val="38"/>
      <w:lang w:eastAsia="ar-SA"/>
    </w:rPr>
  </w:style>
  <w:style w:type="paragraph" w:styleId="NormalWeb">
    <w:name w:val="Normal (Web)"/>
    <w:basedOn w:val="Normal"/>
    <w:uiPriority w:val="99"/>
    <w:unhideWhenUsed/>
    <w:rsid w:val="002B2F51"/>
    <w:pPr>
      <w:bidi w:val="0"/>
      <w:spacing w:before="100" w:beforeAutospacing="1" w:after="100" w:afterAutospacing="1"/>
    </w:pPr>
    <w:rPr>
      <w:rFonts w:cs="Times New Roman"/>
      <w:sz w:val="24"/>
      <w:szCs w:val="24"/>
    </w:rPr>
  </w:style>
  <w:style w:type="character" w:customStyle="1" w:styleId="apple-converted-space">
    <w:name w:val="apple-converted-space"/>
    <w:basedOn w:val="DefaultParagraphFont"/>
    <w:rsid w:val="00AD0861"/>
  </w:style>
  <w:style w:type="character" w:styleId="HTMLCite">
    <w:name w:val="HTML Cite"/>
    <w:uiPriority w:val="99"/>
    <w:unhideWhenUsed/>
    <w:rsid w:val="00AD0861"/>
    <w:rPr>
      <w:i/>
      <w:iCs/>
    </w:rPr>
  </w:style>
  <w:style w:type="character" w:styleId="FollowedHyperlink">
    <w:name w:val="FollowedHyperlink"/>
    <w:uiPriority w:val="99"/>
    <w:unhideWhenUsed/>
    <w:rsid w:val="00AD0861"/>
    <w:rPr>
      <w:color w:val="800080"/>
      <w:u w:val="single"/>
    </w:rPr>
  </w:style>
  <w:style w:type="paragraph" w:styleId="ListBullet">
    <w:name w:val="List Bullet"/>
    <w:basedOn w:val="Normal"/>
    <w:unhideWhenUsed/>
    <w:rsid w:val="00AD0861"/>
    <w:pPr>
      <w:numPr>
        <w:numId w:val="1"/>
      </w:numPr>
      <w:spacing w:after="200" w:line="276" w:lineRule="auto"/>
      <w:contextualSpacing/>
    </w:pPr>
    <w:rPr>
      <w:rFonts w:ascii="Calibri" w:eastAsia="Calibri" w:hAnsi="Calibri" w:cs="Arial"/>
      <w:sz w:val="22"/>
      <w:szCs w:val="22"/>
    </w:rPr>
  </w:style>
  <w:style w:type="paragraph" w:styleId="Caption">
    <w:name w:val="caption"/>
    <w:basedOn w:val="Normal"/>
    <w:next w:val="Normal"/>
    <w:unhideWhenUsed/>
    <w:qFormat/>
    <w:rsid w:val="00AD0861"/>
    <w:pPr>
      <w:spacing w:after="200"/>
    </w:pPr>
    <w:rPr>
      <w:rFonts w:ascii="Calibri" w:hAnsi="Calibri" w:cs="Arial"/>
      <w:b/>
      <w:bCs/>
      <w:color w:val="4F81BD"/>
      <w:sz w:val="18"/>
      <w:szCs w:val="18"/>
    </w:rPr>
  </w:style>
  <w:style w:type="paragraph" w:customStyle="1" w:styleId="a2">
    <w:name w:val="م"/>
    <w:basedOn w:val="Normal"/>
    <w:rsid w:val="00AD0861"/>
    <w:pPr>
      <w:widowControl w:val="0"/>
      <w:spacing w:before="100"/>
      <w:ind w:firstLine="510"/>
      <w:jc w:val="lowKashida"/>
    </w:pPr>
    <w:rPr>
      <w:szCs w:val="30"/>
    </w:rPr>
  </w:style>
  <w:style w:type="paragraph" w:styleId="HTMLPreformatted">
    <w:name w:val="HTML Preformatted"/>
    <w:basedOn w:val="Normal"/>
    <w:link w:val="HTMLPreformattedChar"/>
    <w:uiPriority w:val="99"/>
    <w:unhideWhenUsed/>
    <w:rsid w:val="00034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34E14"/>
    <w:rPr>
      <w:rFonts w:ascii="Courier New" w:hAnsi="Courier New" w:cs="Courier New"/>
      <w:sz w:val="20"/>
      <w:szCs w:val="20"/>
    </w:rPr>
  </w:style>
  <w:style w:type="paragraph" w:customStyle="1" w:styleId="3">
    <w:name w:val="3"/>
    <w:basedOn w:val="Normal"/>
    <w:next w:val="Footer"/>
    <w:link w:val="Char"/>
    <w:rsid w:val="00A177A5"/>
    <w:pPr>
      <w:tabs>
        <w:tab w:val="center" w:pos="4153"/>
        <w:tab w:val="right" w:pos="8306"/>
      </w:tabs>
    </w:pPr>
    <w:rPr>
      <w:rFonts w:cs="Times New Roman"/>
      <w:sz w:val="24"/>
      <w:szCs w:val="24"/>
    </w:rPr>
  </w:style>
  <w:style w:type="character" w:customStyle="1" w:styleId="Char">
    <w:name w:val="تذييل الصفحة Char"/>
    <w:link w:val="3"/>
    <w:rsid w:val="00A177A5"/>
    <w:rPr>
      <w:rFonts w:cs="Times New Roman"/>
      <w:sz w:val="24"/>
      <w:szCs w:val="24"/>
    </w:rPr>
  </w:style>
  <w:style w:type="character" w:customStyle="1" w:styleId="EndnoteTextChar">
    <w:name w:val="Endnote Text Char"/>
    <w:basedOn w:val="DefaultParagraphFont"/>
    <w:link w:val="EndnoteText"/>
    <w:uiPriority w:val="99"/>
    <w:rsid w:val="00B678DB"/>
    <w:rPr>
      <w:rFonts w:asciiTheme="minorHAnsi" w:eastAsiaTheme="minorHAnsi" w:hAnsiTheme="minorHAnsi" w:cstheme="minorBidi"/>
      <w:sz w:val="20"/>
      <w:szCs w:val="20"/>
    </w:rPr>
  </w:style>
  <w:style w:type="paragraph" w:styleId="EndnoteText">
    <w:name w:val="endnote text"/>
    <w:basedOn w:val="Normal"/>
    <w:link w:val="EndnoteTextChar"/>
    <w:uiPriority w:val="99"/>
    <w:unhideWhenUsed/>
    <w:rsid w:val="00B678DB"/>
    <w:rPr>
      <w:rFonts w:asciiTheme="minorHAnsi" w:eastAsiaTheme="minorHAnsi" w:hAnsiTheme="minorHAnsi" w:cstheme="minorBidi"/>
      <w:sz w:val="20"/>
      <w:szCs w:val="20"/>
    </w:rPr>
  </w:style>
  <w:style w:type="paragraph" w:styleId="NoSpacing">
    <w:name w:val="No Spacing"/>
    <w:link w:val="NoSpacingChar"/>
    <w:uiPriority w:val="1"/>
    <w:qFormat/>
    <w:rsid w:val="00B678DB"/>
    <w:pPr>
      <w:bidi/>
    </w:pPr>
    <w:rPr>
      <w:rFonts w:asciiTheme="minorHAnsi" w:eastAsiaTheme="minorHAnsi" w:hAnsiTheme="minorHAnsi" w:cstheme="minorBidi"/>
      <w:sz w:val="22"/>
      <w:szCs w:val="22"/>
    </w:rPr>
  </w:style>
  <w:style w:type="character" w:customStyle="1" w:styleId="CharChar12">
    <w:name w:val="Char Char12"/>
    <w:rsid w:val="00B678DB"/>
    <w:rPr>
      <w:rFonts w:ascii="Arial Black" w:hAnsi="Arial Black"/>
      <w:bCs/>
      <w:sz w:val="24"/>
      <w:szCs w:val="28"/>
      <w:lang w:bidi="ar-SA"/>
    </w:rPr>
  </w:style>
  <w:style w:type="paragraph" w:styleId="BlockText">
    <w:name w:val="Block Text"/>
    <w:basedOn w:val="Normal"/>
    <w:rsid w:val="00B678DB"/>
    <w:pPr>
      <w:ind w:left="368" w:hanging="368"/>
      <w:jc w:val="lowKashida"/>
    </w:pPr>
    <w:rPr>
      <w:spacing w:val="20"/>
      <w:sz w:val="24"/>
      <w:szCs w:val="24"/>
    </w:rPr>
  </w:style>
  <w:style w:type="table" w:customStyle="1" w:styleId="TableGrid1">
    <w:name w:val="Table Grid1"/>
    <w:basedOn w:val="TableNormal"/>
    <w:next w:val="TableGrid"/>
    <w:uiPriority w:val="59"/>
    <w:rsid w:val="00015AD8"/>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5AD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A67551"/>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istParagraphChar">
    <w:name w:val="List Paragraph Char"/>
    <w:link w:val="ListParagraph"/>
    <w:uiPriority w:val="34"/>
    <w:rsid w:val="00A67551"/>
  </w:style>
  <w:style w:type="numbering" w:customStyle="1" w:styleId="NoList1">
    <w:name w:val="No List1"/>
    <w:next w:val="NoList"/>
    <w:uiPriority w:val="99"/>
    <w:semiHidden/>
    <w:unhideWhenUsed/>
    <w:rsid w:val="00A02364"/>
  </w:style>
  <w:style w:type="table" w:styleId="MediumList2">
    <w:name w:val="Medium List 2"/>
    <w:basedOn w:val="TableNormal"/>
    <w:uiPriority w:val="66"/>
    <w:rsid w:val="00A02364"/>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
    <w:name w:val="Light Grid"/>
    <w:basedOn w:val="TableNormal"/>
    <w:uiPriority w:val="62"/>
    <w:rsid w:val="00A02364"/>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A02364"/>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A02364"/>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istParagraph1">
    <w:name w:val="List Paragraph1"/>
    <w:basedOn w:val="Normal"/>
    <w:rsid w:val="00A02364"/>
    <w:pPr>
      <w:spacing w:after="200" w:line="276" w:lineRule="auto"/>
      <w:ind w:left="720"/>
      <w:contextualSpacing/>
    </w:pPr>
    <w:rPr>
      <w:rFonts w:ascii="Calibri" w:hAnsi="Calibri" w:cs="Arial"/>
      <w:sz w:val="22"/>
      <w:szCs w:val="22"/>
    </w:rPr>
  </w:style>
  <w:style w:type="character" w:customStyle="1" w:styleId="UnresolvedMention1">
    <w:name w:val="Unresolved Mention1"/>
    <w:basedOn w:val="DefaultParagraphFont"/>
    <w:uiPriority w:val="99"/>
    <w:semiHidden/>
    <w:unhideWhenUsed/>
    <w:rsid w:val="00A02364"/>
    <w:rPr>
      <w:color w:val="605E5C"/>
      <w:shd w:val="clear" w:color="auto" w:fill="E1DFDD"/>
    </w:rPr>
  </w:style>
  <w:style w:type="paragraph" w:customStyle="1" w:styleId="Heading11">
    <w:name w:val="Heading 11"/>
    <w:basedOn w:val="Normal"/>
    <w:next w:val="Normal"/>
    <w:qFormat/>
    <w:rsid w:val="00A02364"/>
    <w:pPr>
      <w:keepNext/>
      <w:keepLines/>
      <w:spacing w:before="240" w:line="276" w:lineRule="auto"/>
      <w:ind w:left="74" w:right="482" w:firstLine="499"/>
      <w:jc w:val="both"/>
      <w:outlineLvl w:val="0"/>
    </w:pPr>
    <w:rPr>
      <w:rFonts w:ascii="Calibri Light" w:hAnsi="Calibri Light" w:cs="Times New Roman"/>
      <w:color w:val="2F5496"/>
      <w:sz w:val="32"/>
      <w:szCs w:val="32"/>
    </w:rPr>
  </w:style>
  <w:style w:type="paragraph" w:customStyle="1" w:styleId="Heading31">
    <w:name w:val="Heading 31"/>
    <w:basedOn w:val="Normal"/>
    <w:next w:val="Normal"/>
    <w:unhideWhenUsed/>
    <w:qFormat/>
    <w:rsid w:val="00A02364"/>
    <w:pPr>
      <w:keepNext/>
      <w:keepLines/>
      <w:spacing w:before="200" w:line="276" w:lineRule="auto"/>
      <w:ind w:left="74" w:right="482" w:firstLine="499"/>
      <w:jc w:val="both"/>
      <w:outlineLvl w:val="2"/>
    </w:pPr>
    <w:rPr>
      <w:rFonts w:ascii="Calibri Light" w:hAnsi="Calibri Light" w:cs="Times New Roman"/>
      <w:b/>
      <w:bCs/>
      <w:color w:val="4472C4"/>
    </w:rPr>
  </w:style>
  <w:style w:type="numbering" w:customStyle="1" w:styleId="NoList11">
    <w:name w:val="No List11"/>
    <w:next w:val="NoList"/>
    <w:uiPriority w:val="99"/>
    <w:semiHidden/>
    <w:unhideWhenUsed/>
    <w:rsid w:val="00A02364"/>
  </w:style>
  <w:style w:type="character" w:customStyle="1" w:styleId="FootnoteTextChar1">
    <w:name w:val="Footnote Text Char1"/>
    <w:basedOn w:val="DefaultParagraphFont"/>
    <w:uiPriority w:val="99"/>
    <w:semiHidden/>
    <w:rsid w:val="00A02364"/>
    <w:rPr>
      <w:sz w:val="20"/>
      <w:szCs w:val="20"/>
    </w:rPr>
  </w:style>
  <w:style w:type="character" w:customStyle="1" w:styleId="CommentTextChar">
    <w:name w:val="Comment Text Char"/>
    <w:basedOn w:val="DefaultParagraphFont"/>
    <w:link w:val="CommentText"/>
    <w:uiPriority w:val="99"/>
    <w:rsid w:val="00A02364"/>
    <w:rPr>
      <w:sz w:val="20"/>
      <w:szCs w:val="20"/>
    </w:rPr>
  </w:style>
  <w:style w:type="paragraph" w:styleId="CommentText">
    <w:name w:val="annotation text"/>
    <w:basedOn w:val="Normal"/>
    <w:link w:val="CommentTextChar"/>
    <w:uiPriority w:val="99"/>
    <w:unhideWhenUsed/>
    <w:rsid w:val="00A02364"/>
    <w:pPr>
      <w:spacing w:after="200"/>
      <w:ind w:left="74" w:right="482" w:firstLine="499"/>
      <w:jc w:val="both"/>
    </w:pPr>
    <w:rPr>
      <w:sz w:val="20"/>
      <w:szCs w:val="20"/>
    </w:rPr>
  </w:style>
  <w:style w:type="character" w:customStyle="1" w:styleId="CommentTextChar1">
    <w:name w:val="Comment Text Char1"/>
    <w:basedOn w:val="DefaultParagraphFont"/>
    <w:uiPriority w:val="99"/>
    <w:semiHidden/>
    <w:rsid w:val="00A02364"/>
    <w:rPr>
      <w:sz w:val="20"/>
      <w:szCs w:val="20"/>
    </w:rPr>
  </w:style>
  <w:style w:type="character" w:customStyle="1" w:styleId="CommentSubjectChar">
    <w:name w:val="Comment Subject Char"/>
    <w:basedOn w:val="CommentTextChar"/>
    <w:link w:val="CommentSubject"/>
    <w:uiPriority w:val="99"/>
    <w:semiHidden/>
    <w:rsid w:val="00A02364"/>
    <w:rPr>
      <w:b/>
      <w:bCs/>
      <w:sz w:val="20"/>
      <w:szCs w:val="20"/>
    </w:rPr>
  </w:style>
  <w:style w:type="paragraph" w:styleId="CommentSubject">
    <w:name w:val="annotation subject"/>
    <w:basedOn w:val="CommentText"/>
    <w:next w:val="CommentText"/>
    <w:link w:val="CommentSubjectChar"/>
    <w:uiPriority w:val="99"/>
    <w:semiHidden/>
    <w:unhideWhenUsed/>
    <w:rsid w:val="00A02364"/>
    <w:rPr>
      <w:b/>
      <w:bCs/>
    </w:rPr>
  </w:style>
  <w:style w:type="character" w:customStyle="1" w:styleId="CommentSubjectChar1">
    <w:name w:val="Comment Subject Char1"/>
    <w:basedOn w:val="CommentTextChar1"/>
    <w:uiPriority w:val="99"/>
    <w:semiHidden/>
    <w:rsid w:val="00A02364"/>
    <w:rPr>
      <w:b/>
      <w:bCs/>
      <w:sz w:val="20"/>
      <w:szCs w:val="20"/>
    </w:rPr>
  </w:style>
  <w:style w:type="character" w:styleId="CommentReference">
    <w:name w:val="annotation reference"/>
    <w:basedOn w:val="DefaultParagraphFont"/>
    <w:uiPriority w:val="99"/>
    <w:semiHidden/>
    <w:unhideWhenUsed/>
    <w:rsid w:val="00A02364"/>
    <w:rPr>
      <w:sz w:val="16"/>
      <w:szCs w:val="16"/>
    </w:rPr>
  </w:style>
  <w:style w:type="paragraph" w:customStyle="1" w:styleId="Caption1">
    <w:name w:val="Caption1"/>
    <w:basedOn w:val="Normal"/>
    <w:next w:val="Normal"/>
    <w:uiPriority w:val="35"/>
    <w:unhideWhenUsed/>
    <w:qFormat/>
    <w:rsid w:val="00A02364"/>
    <w:pPr>
      <w:spacing w:after="200"/>
      <w:ind w:left="74" w:right="482" w:firstLine="499"/>
      <w:jc w:val="both"/>
    </w:pPr>
    <w:rPr>
      <w:rFonts w:ascii="Simplified Arabic" w:eastAsiaTheme="minorHAnsi" w:hAnsi="Simplified Arabic"/>
      <w:i/>
      <w:iCs/>
      <w:color w:val="44546A"/>
      <w:sz w:val="18"/>
      <w:szCs w:val="18"/>
    </w:rPr>
  </w:style>
  <w:style w:type="character" w:customStyle="1" w:styleId="Heading1Char1">
    <w:name w:val="Heading 1 Char1"/>
    <w:basedOn w:val="DefaultParagraphFont"/>
    <w:uiPriority w:val="9"/>
    <w:rsid w:val="00A02364"/>
    <w:rPr>
      <w:rFonts w:asciiTheme="majorHAnsi" w:eastAsiaTheme="majorEastAsia" w:hAnsiTheme="majorHAnsi" w:cstheme="majorBidi"/>
      <w:color w:val="365F91" w:themeColor="accent1" w:themeShade="BF"/>
      <w:sz w:val="32"/>
      <w:szCs w:val="32"/>
    </w:rPr>
  </w:style>
  <w:style w:type="character" w:customStyle="1" w:styleId="Heading3Char1">
    <w:name w:val="Heading 3 Char1"/>
    <w:basedOn w:val="DefaultParagraphFont"/>
    <w:uiPriority w:val="9"/>
    <w:semiHidden/>
    <w:rsid w:val="00A02364"/>
    <w:rPr>
      <w:rFonts w:asciiTheme="majorHAnsi" w:eastAsiaTheme="majorEastAsia" w:hAnsiTheme="majorHAnsi" w:cstheme="majorBidi"/>
      <w:color w:val="243F60" w:themeColor="accent1" w:themeShade="7F"/>
      <w:sz w:val="24"/>
      <w:szCs w:val="24"/>
    </w:rPr>
  </w:style>
  <w:style w:type="numbering" w:customStyle="1" w:styleId="NoList2">
    <w:name w:val="No List2"/>
    <w:next w:val="NoList"/>
    <w:uiPriority w:val="99"/>
    <w:semiHidden/>
    <w:unhideWhenUsed/>
    <w:rsid w:val="00A02364"/>
  </w:style>
  <w:style w:type="table" w:customStyle="1" w:styleId="TableGrid11">
    <w:name w:val="Table Grid11"/>
    <w:basedOn w:val="TableNormal"/>
    <w:next w:val="TableGrid"/>
    <w:uiPriority w:val="59"/>
    <w:unhideWhenUsed/>
    <w:rsid w:val="00A023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A023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basedOn w:val="DefaultParagraphFont"/>
    <w:uiPriority w:val="99"/>
    <w:semiHidden/>
    <w:rsid w:val="00A02364"/>
    <w:rPr>
      <w:sz w:val="20"/>
      <w:szCs w:val="20"/>
    </w:rPr>
  </w:style>
  <w:style w:type="character" w:customStyle="1" w:styleId="alt-edited">
    <w:name w:val="alt-edited"/>
    <w:basedOn w:val="DefaultParagraphFont"/>
    <w:rsid w:val="00A02364"/>
  </w:style>
  <w:style w:type="character" w:customStyle="1" w:styleId="CharAttribute1">
    <w:name w:val="CharAttribute1"/>
    <w:rsid w:val="00A02364"/>
    <w:rPr>
      <w:rFonts w:ascii="Times New Roman" w:eastAsia="Times New Roman" w:hAnsi="Times New Roman" w:cs="Times New Roman" w:hint="default"/>
      <w:sz w:val="32"/>
    </w:rPr>
  </w:style>
  <w:style w:type="character" w:customStyle="1" w:styleId="author-namedo-not-mathjax">
    <w:name w:val="author-name do-not-mathjax"/>
    <w:basedOn w:val="DefaultParagraphFont"/>
    <w:rsid w:val="00A02364"/>
  </w:style>
  <w:style w:type="paragraph" w:styleId="TOCHeading">
    <w:name w:val="TOC Heading"/>
    <w:basedOn w:val="Heading1"/>
    <w:next w:val="Normal"/>
    <w:uiPriority w:val="39"/>
    <w:unhideWhenUsed/>
    <w:qFormat/>
    <w:rsid w:val="00A02364"/>
    <w:pPr>
      <w:bidi w:val="0"/>
      <w:spacing w:before="480" w:line="276" w:lineRule="auto"/>
      <w:ind w:left="0" w:firstLine="0"/>
      <w:jc w:val="left"/>
      <w:outlineLvl w:val="9"/>
    </w:pPr>
    <w:rPr>
      <w:rFonts w:asciiTheme="majorHAnsi" w:hAnsiTheme="majorHAnsi" w:cstheme="majorBidi"/>
      <w:color w:val="365F91" w:themeColor="accent1" w:themeShade="BF"/>
      <w:sz w:val="28"/>
      <w:szCs w:val="28"/>
      <w:lang w:eastAsia="ja-JP"/>
    </w:rPr>
  </w:style>
  <w:style w:type="numbering" w:customStyle="1" w:styleId="NoList111">
    <w:name w:val="No List111"/>
    <w:next w:val="NoList"/>
    <w:uiPriority w:val="99"/>
    <w:semiHidden/>
    <w:unhideWhenUsed/>
    <w:rsid w:val="00A02364"/>
  </w:style>
  <w:style w:type="table" w:customStyle="1" w:styleId="TableGrid4">
    <w:name w:val="Table Grid4"/>
    <w:basedOn w:val="TableNormal"/>
    <w:next w:val="TableGrid"/>
    <w:uiPriority w:val="59"/>
    <w:rsid w:val="00A023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A02364"/>
    <w:pPr>
      <w:bidi/>
    </w:pPr>
    <w:rPr>
      <w:rFonts w:ascii="Simplified Arabic" w:eastAsiaTheme="minorHAnsi" w:hAnsi="Simplified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A02364"/>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21">
    <w:name w:val="Heading 21"/>
    <w:basedOn w:val="Normal"/>
    <w:next w:val="Normal"/>
    <w:unhideWhenUsed/>
    <w:qFormat/>
    <w:rsid w:val="00A02364"/>
    <w:pPr>
      <w:keepNext/>
      <w:keepLines/>
      <w:spacing w:before="120"/>
      <w:ind w:left="720" w:hanging="720"/>
      <w:jc w:val="lowKashida"/>
      <w:outlineLvl w:val="1"/>
    </w:pPr>
    <w:rPr>
      <w:rFonts w:ascii="Arial Black" w:hAnsi="Arial Black" w:cs="SKR HEAD1"/>
      <w:sz w:val="22"/>
      <w:szCs w:val="30"/>
    </w:rPr>
  </w:style>
  <w:style w:type="paragraph" w:customStyle="1" w:styleId="Char1">
    <w:name w:val="Char1"/>
    <w:basedOn w:val="Normal"/>
    <w:next w:val="FootnoteText"/>
    <w:unhideWhenUsed/>
    <w:rsid w:val="00A02364"/>
    <w:rPr>
      <w:rFonts w:ascii="Calibri" w:hAnsi="Calibri" w:cs="Arial"/>
      <w:sz w:val="20"/>
      <w:szCs w:val="20"/>
    </w:rPr>
  </w:style>
  <w:style w:type="table" w:customStyle="1" w:styleId="TableGrid6">
    <w:name w:val="Table Grid6"/>
    <w:basedOn w:val="TableNormal"/>
    <w:next w:val="TableGrid"/>
    <w:uiPriority w:val="59"/>
    <w:rsid w:val="00A0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A02364"/>
    <w:pPr>
      <w:numPr>
        <w:ilvl w:val="1"/>
      </w:numPr>
      <w:bidi w:val="0"/>
      <w:spacing w:line="276" w:lineRule="auto"/>
      <w:jc w:val="lowKashida"/>
    </w:pPr>
    <w:rPr>
      <w:rFonts w:ascii="Cambria" w:hAnsi="Cambria" w:cs="Times New Roman"/>
      <w:i/>
      <w:iCs/>
      <w:color w:val="4F81BD"/>
      <w:spacing w:val="15"/>
      <w:sz w:val="24"/>
      <w:szCs w:val="24"/>
    </w:rPr>
  </w:style>
  <w:style w:type="paragraph" w:customStyle="1" w:styleId="Title1">
    <w:name w:val="Title1"/>
    <w:basedOn w:val="Normal"/>
    <w:next w:val="Normal"/>
    <w:uiPriority w:val="10"/>
    <w:qFormat/>
    <w:rsid w:val="00A02364"/>
    <w:pPr>
      <w:pBdr>
        <w:bottom w:val="single" w:sz="8" w:space="4" w:color="4F81BD"/>
      </w:pBdr>
      <w:bidi w:val="0"/>
      <w:spacing w:after="300"/>
      <w:contextualSpacing/>
      <w:jc w:val="lowKashida"/>
    </w:pPr>
    <w:rPr>
      <w:rFonts w:ascii="Cambria" w:hAnsi="Cambria" w:cs="Times New Roman"/>
      <w:color w:val="17365D"/>
      <w:spacing w:val="5"/>
      <w:kern w:val="28"/>
      <w:sz w:val="52"/>
      <w:szCs w:val="52"/>
    </w:rPr>
  </w:style>
  <w:style w:type="paragraph" w:customStyle="1" w:styleId="BodyTextIndent21">
    <w:name w:val="Body Text Indent 21"/>
    <w:basedOn w:val="Normal"/>
    <w:next w:val="BodyTextIndent2"/>
    <w:uiPriority w:val="99"/>
    <w:unhideWhenUsed/>
    <w:rsid w:val="00A02364"/>
    <w:pPr>
      <w:bidi w:val="0"/>
      <w:spacing w:after="120" w:line="480" w:lineRule="auto"/>
      <w:ind w:left="360"/>
    </w:pPr>
    <w:rPr>
      <w:rFonts w:ascii="Calibri" w:eastAsiaTheme="minorHAnsi" w:hAnsi="Calibri" w:cs="Arial"/>
      <w:sz w:val="22"/>
      <w:szCs w:val="22"/>
    </w:rPr>
  </w:style>
  <w:style w:type="paragraph" w:customStyle="1" w:styleId="EndnoteText1">
    <w:name w:val="Endnote Text1"/>
    <w:basedOn w:val="Normal"/>
    <w:next w:val="EndnoteText"/>
    <w:uiPriority w:val="99"/>
    <w:semiHidden/>
    <w:unhideWhenUsed/>
    <w:rsid w:val="00A02364"/>
    <w:rPr>
      <w:rFonts w:asciiTheme="minorHAnsi" w:eastAsiaTheme="minorHAnsi" w:hAnsiTheme="minorHAnsi" w:cstheme="minorBidi"/>
      <w:sz w:val="20"/>
      <w:szCs w:val="20"/>
    </w:rPr>
  </w:style>
  <w:style w:type="paragraph" w:customStyle="1" w:styleId="NoSpacing1">
    <w:name w:val="No Spacing1"/>
    <w:next w:val="NoSpacing"/>
    <w:uiPriority w:val="1"/>
    <w:qFormat/>
    <w:rsid w:val="00A02364"/>
    <w:pPr>
      <w:bidi/>
    </w:pPr>
    <w:rPr>
      <w:rFonts w:asciiTheme="minorHAnsi" w:eastAsiaTheme="minorHAnsi" w:hAnsiTheme="minorHAnsi" w:cstheme="minorBidi"/>
      <w:sz w:val="22"/>
      <w:szCs w:val="22"/>
    </w:rPr>
  </w:style>
  <w:style w:type="table" w:customStyle="1" w:styleId="TableGrid12">
    <w:name w:val="Table Grid12"/>
    <w:basedOn w:val="TableNormal"/>
    <w:next w:val="TableGrid"/>
    <w:uiPriority w:val="59"/>
    <w:rsid w:val="00A023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A02364"/>
    <w:pPr>
      <w:spacing w:line="276" w:lineRule="auto"/>
      <w:ind w:left="0" w:firstLine="0"/>
      <w:jc w:val="left"/>
    </w:pPr>
    <w:rPr>
      <w:rFonts w:ascii="Calibri" w:eastAsia="Times New Roman" w:hAnsi="Calibri" w:cs="Arial"/>
      <w:b/>
      <w:bCs/>
      <w:sz w:val="32"/>
    </w:rPr>
  </w:style>
  <w:style w:type="table" w:customStyle="1" w:styleId="TableGrid21">
    <w:name w:val="Table Grid21"/>
    <w:basedOn w:val="TableNormal"/>
    <w:next w:val="TableGrid"/>
    <w:uiPriority w:val="59"/>
    <w:rsid w:val="00A02364"/>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A02364"/>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basedOn w:val="DefaultParagraphFont"/>
    <w:uiPriority w:val="9"/>
    <w:semiHidden/>
    <w:rsid w:val="00A02364"/>
    <w:rPr>
      <w:rFonts w:ascii="Calibri Light" w:eastAsia="Times New Roman" w:hAnsi="Calibri Light" w:cs="Times New Roman"/>
      <w:color w:val="2F5496"/>
      <w:sz w:val="26"/>
      <w:szCs w:val="26"/>
    </w:rPr>
  </w:style>
  <w:style w:type="character" w:customStyle="1" w:styleId="FootnoteTextChar2">
    <w:name w:val="Footnote Text Char2"/>
    <w:aliases w:val=" Char Char Char Char Char Char Char Char Char Char Char Char Char Char Char, Char Char Char Char Char Char Char Char1, Char Char Char Char Char Char Char1, Char Char1"/>
    <w:basedOn w:val="DefaultParagraphFont"/>
    <w:uiPriority w:val="99"/>
    <w:semiHidden/>
    <w:rsid w:val="00A02364"/>
    <w:rPr>
      <w:sz w:val="20"/>
      <w:szCs w:val="20"/>
    </w:rPr>
  </w:style>
  <w:style w:type="character" w:customStyle="1" w:styleId="SubtitleChar1">
    <w:name w:val="Subtitle Char1"/>
    <w:basedOn w:val="DefaultParagraphFont"/>
    <w:uiPriority w:val="11"/>
    <w:rsid w:val="00A02364"/>
    <w:rPr>
      <w:rFonts w:eastAsia="Times New Roman"/>
      <w:color w:val="5A5A5A"/>
      <w:spacing w:val="15"/>
    </w:rPr>
  </w:style>
  <w:style w:type="character" w:customStyle="1" w:styleId="TitleChar1">
    <w:name w:val="Title Char1"/>
    <w:basedOn w:val="DefaultParagraphFont"/>
    <w:uiPriority w:val="10"/>
    <w:rsid w:val="00A02364"/>
    <w:rPr>
      <w:rFonts w:ascii="Calibri Light" w:eastAsia="Times New Roman" w:hAnsi="Calibri Light" w:cs="Times New Roman"/>
      <w:spacing w:val="-10"/>
      <w:kern w:val="28"/>
      <w:sz w:val="56"/>
      <w:szCs w:val="56"/>
    </w:rPr>
  </w:style>
  <w:style w:type="character" w:customStyle="1" w:styleId="BodyTextIndent2Char1">
    <w:name w:val="Body Text Indent 2 Char1"/>
    <w:basedOn w:val="DefaultParagraphFont"/>
    <w:uiPriority w:val="99"/>
    <w:semiHidden/>
    <w:rsid w:val="00A02364"/>
  </w:style>
  <w:style w:type="table" w:customStyle="1" w:styleId="TableGrid51">
    <w:name w:val="Table Grid51"/>
    <w:basedOn w:val="TableNormal"/>
    <w:next w:val="TableGrid"/>
    <w:uiPriority w:val="59"/>
    <w:rsid w:val="00A02364"/>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2364"/>
  </w:style>
  <w:style w:type="table" w:customStyle="1" w:styleId="TableGrid111">
    <w:name w:val="Table Grid111"/>
    <w:basedOn w:val="TableNormal"/>
    <w:next w:val="TableGrid"/>
    <w:rsid w:val="00A02364"/>
    <w:rPr>
      <w:rFonts w:eastAsia="SimSun" w:cs="Times New Roman"/>
      <w:sz w:val="20"/>
      <w:szCs w:val="20"/>
      <w:lang w:eastAsia="zh-CN"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02364"/>
    <w:rPr>
      <w:rFonts w:eastAsia="SimSun" w:cs="Times New Roman"/>
      <w:sz w:val="20"/>
      <w:szCs w:val="20"/>
      <w:lang w:eastAsia="zh-CN"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02364"/>
  </w:style>
  <w:style w:type="table" w:customStyle="1" w:styleId="TableGrid311">
    <w:name w:val="Table Grid311"/>
    <w:basedOn w:val="TableNormal"/>
    <w:next w:val="TableGrid"/>
    <w:uiPriority w:val="59"/>
    <w:rsid w:val="00A0236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ote1">
    <w:name w:val="Quote1"/>
    <w:basedOn w:val="Normal"/>
    <w:next w:val="Normal"/>
    <w:uiPriority w:val="29"/>
    <w:qFormat/>
    <w:rsid w:val="00A02364"/>
    <w:rPr>
      <w:rFonts w:cs="Times New Roman"/>
      <w:i/>
      <w:iCs/>
      <w:color w:val="000000"/>
      <w:sz w:val="24"/>
      <w:szCs w:val="24"/>
    </w:rPr>
  </w:style>
  <w:style w:type="character" w:customStyle="1" w:styleId="QuoteChar">
    <w:name w:val="Quote Char"/>
    <w:basedOn w:val="DefaultParagraphFont"/>
    <w:link w:val="Quote"/>
    <w:uiPriority w:val="29"/>
    <w:rsid w:val="00A02364"/>
    <w:rPr>
      <w:i/>
      <w:iCs/>
      <w:color w:val="000000"/>
      <w:sz w:val="24"/>
      <w:szCs w:val="24"/>
    </w:rPr>
  </w:style>
  <w:style w:type="paragraph" w:styleId="Quote">
    <w:name w:val="Quote"/>
    <w:basedOn w:val="Normal"/>
    <w:next w:val="Normal"/>
    <w:link w:val="QuoteChar"/>
    <w:uiPriority w:val="29"/>
    <w:qFormat/>
    <w:rsid w:val="00A02364"/>
    <w:pPr>
      <w:spacing w:before="200" w:after="160" w:line="276" w:lineRule="auto"/>
      <w:ind w:left="864" w:right="864"/>
      <w:jc w:val="center"/>
    </w:pPr>
    <w:rPr>
      <w:i/>
      <w:iCs/>
      <w:color w:val="000000"/>
      <w:sz w:val="24"/>
      <w:szCs w:val="24"/>
    </w:rPr>
  </w:style>
  <w:style w:type="character" w:customStyle="1" w:styleId="QuoteChar1">
    <w:name w:val="Quote Char1"/>
    <w:basedOn w:val="DefaultParagraphFont"/>
    <w:uiPriority w:val="29"/>
    <w:rsid w:val="00A02364"/>
    <w:rPr>
      <w:i/>
      <w:iCs/>
      <w:color w:val="000000" w:themeColor="text1"/>
    </w:rPr>
  </w:style>
  <w:style w:type="numbering" w:customStyle="1" w:styleId="NoList3">
    <w:name w:val="No List3"/>
    <w:next w:val="NoList"/>
    <w:uiPriority w:val="99"/>
    <w:semiHidden/>
    <w:unhideWhenUsed/>
    <w:rsid w:val="00A02364"/>
  </w:style>
  <w:style w:type="character" w:styleId="EndnoteReference">
    <w:name w:val="endnote reference"/>
    <w:basedOn w:val="DefaultParagraphFont"/>
    <w:uiPriority w:val="99"/>
    <w:semiHidden/>
    <w:unhideWhenUsed/>
    <w:rsid w:val="00A02364"/>
    <w:rPr>
      <w:vertAlign w:val="superscript"/>
    </w:rPr>
  </w:style>
  <w:style w:type="paragraph" w:styleId="TOC1">
    <w:name w:val="toc 1"/>
    <w:basedOn w:val="Normal"/>
    <w:next w:val="Normal"/>
    <w:autoRedefine/>
    <w:uiPriority w:val="39"/>
    <w:unhideWhenUsed/>
    <w:rsid w:val="0032537B"/>
    <w:pPr>
      <w:shd w:val="clear" w:color="auto" w:fill="FFFFFF" w:themeFill="background1"/>
      <w:tabs>
        <w:tab w:val="right" w:leader="dot" w:pos="8630"/>
      </w:tabs>
      <w:spacing w:after="100" w:line="259" w:lineRule="auto"/>
      <w:ind w:firstLine="720"/>
      <w:jc w:val="both"/>
    </w:pPr>
    <w:rPr>
      <w:rFonts w:ascii="Simplified Arabic" w:eastAsiaTheme="minorHAnsi" w:hAnsi="Simplified Arabic"/>
      <w:sz w:val="32"/>
      <w:szCs w:val="32"/>
    </w:rPr>
  </w:style>
  <w:style w:type="paragraph" w:customStyle="1" w:styleId="fakratxt">
    <w:name w:val="fakra_txt"/>
    <w:basedOn w:val="Normal"/>
    <w:rsid w:val="0032537B"/>
    <w:pPr>
      <w:bidi w:val="0"/>
      <w:spacing w:before="100" w:beforeAutospacing="1" w:after="100" w:afterAutospacing="1"/>
    </w:pPr>
    <w:rPr>
      <w:rFonts w:cs="Times New Roman"/>
      <w:sz w:val="24"/>
      <w:szCs w:val="24"/>
    </w:rPr>
  </w:style>
  <w:style w:type="character" w:customStyle="1" w:styleId="highlightedsearchtext">
    <w:name w:val="highlightedsearchtext"/>
    <w:basedOn w:val="DefaultParagraphFont"/>
    <w:rsid w:val="0032537B"/>
  </w:style>
  <w:style w:type="paragraph" w:styleId="TOC2">
    <w:name w:val="toc 2"/>
    <w:basedOn w:val="Normal"/>
    <w:next w:val="Normal"/>
    <w:autoRedefine/>
    <w:uiPriority w:val="39"/>
    <w:unhideWhenUsed/>
    <w:rsid w:val="0032537B"/>
    <w:pPr>
      <w:bidi w:val="0"/>
      <w:spacing w:after="100" w:line="259"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32537B"/>
    <w:pPr>
      <w:bidi w:val="0"/>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32537B"/>
    <w:pPr>
      <w:bidi w:val="0"/>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537B"/>
    <w:pPr>
      <w:bidi w:val="0"/>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537B"/>
    <w:pPr>
      <w:bidi w:val="0"/>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537B"/>
    <w:pPr>
      <w:bidi w:val="0"/>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537B"/>
    <w:pPr>
      <w:bidi w:val="0"/>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537B"/>
    <w:pPr>
      <w:bidi w:val="0"/>
      <w:spacing w:after="100" w:line="259" w:lineRule="auto"/>
      <w:ind w:left="176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2537B"/>
    <w:rPr>
      <w:rFonts w:asciiTheme="minorHAnsi" w:eastAsiaTheme="minorHAnsi" w:hAnsiTheme="minorHAnsi" w:cstheme="minorBidi"/>
      <w:sz w:val="22"/>
      <w:szCs w:val="22"/>
    </w:rPr>
  </w:style>
  <w:style w:type="character" w:styleId="SubtleEmphasis">
    <w:name w:val="Subtle Emphasis"/>
    <w:basedOn w:val="DefaultParagraphFont"/>
    <w:uiPriority w:val="19"/>
    <w:qFormat/>
    <w:rsid w:val="0032537B"/>
    <w:rPr>
      <w:i/>
      <w:iCs/>
      <w:color w:val="404040" w:themeColor="text1" w:themeTint="BF"/>
    </w:rPr>
  </w:style>
  <w:style w:type="character" w:customStyle="1" w:styleId="highlight">
    <w:name w:val="highlight"/>
    <w:basedOn w:val="DefaultParagraphFont"/>
    <w:rsid w:val="00FA1385"/>
  </w:style>
  <w:style w:type="paragraph" w:customStyle="1" w:styleId="1">
    <w:name w:val="بلا تباعد1"/>
    <w:uiPriority w:val="99"/>
    <w:rsid w:val="00FA1385"/>
    <w:rPr>
      <w:rFonts w:ascii="Calibri" w:hAnsi="Calibri" w:cs="Arial"/>
      <w:sz w:val="22"/>
      <w:szCs w:val="22"/>
    </w:rPr>
  </w:style>
  <w:style w:type="character" w:customStyle="1" w:styleId="hgkelc">
    <w:name w:val="hgkelc"/>
    <w:basedOn w:val="DefaultParagraphFont"/>
    <w:rsid w:val="00FA1385"/>
  </w:style>
  <w:style w:type="paragraph" w:customStyle="1" w:styleId="10">
    <w:name w:val="سرد الفقرات1"/>
    <w:basedOn w:val="Normal"/>
    <w:uiPriority w:val="34"/>
    <w:qFormat/>
    <w:rsid w:val="00FA1385"/>
    <w:pPr>
      <w:ind w:left="720"/>
    </w:pPr>
    <w:rPr>
      <w:rFonts w:eastAsia="SimSun"/>
      <w:sz w:val="24"/>
      <w:lang w:eastAsia="zh-CN"/>
    </w:rPr>
  </w:style>
  <w:style w:type="table" w:customStyle="1" w:styleId="TableGrid7">
    <w:name w:val="Table Grid7"/>
    <w:basedOn w:val="TableNormal"/>
    <w:uiPriority w:val="59"/>
    <w:rsid w:val="00FA138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65B3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65B3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4487">
      <w:bodyDiv w:val="1"/>
      <w:marLeft w:val="0"/>
      <w:marRight w:val="0"/>
      <w:marTop w:val="0"/>
      <w:marBottom w:val="0"/>
      <w:divBdr>
        <w:top w:val="none" w:sz="0" w:space="0" w:color="auto"/>
        <w:left w:val="none" w:sz="0" w:space="0" w:color="auto"/>
        <w:bottom w:val="none" w:sz="0" w:space="0" w:color="auto"/>
        <w:right w:val="none" w:sz="0" w:space="0" w:color="auto"/>
      </w:divBdr>
    </w:div>
    <w:div w:id="995111151">
      <w:bodyDiv w:val="1"/>
      <w:marLeft w:val="0"/>
      <w:marRight w:val="0"/>
      <w:marTop w:val="0"/>
      <w:marBottom w:val="0"/>
      <w:divBdr>
        <w:top w:val="none" w:sz="0" w:space="0" w:color="auto"/>
        <w:left w:val="none" w:sz="0" w:space="0" w:color="auto"/>
        <w:bottom w:val="none" w:sz="0" w:space="0" w:color="auto"/>
        <w:right w:val="none" w:sz="0" w:space="0" w:color="auto"/>
      </w:divBdr>
    </w:div>
    <w:div w:id="1097679944">
      <w:bodyDiv w:val="1"/>
      <w:marLeft w:val="0"/>
      <w:marRight w:val="0"/>
      <w:marTop w:val="0"/>
      <w:marBottom w:val="0"/>
      <w:divBdr>
        <w:top w:val="none" w:sz="0" w:space="0" w:color="auto"/>
        <w:left w:val="none" w:sz="0" w:space="0" w:color="auto"/>
        <w:bottom w:val="none" w:sz="0" w:space="0" w:color="auto"/>
        <w:right w:val="none" w:sz="0" w:space="0" w:color="auto"/>
      </w:divBdr>
    </w:div>
    <w:div w:id="1106654483">
      <w:bodyDiv w:val="1"/>
      <w:marLeft w:val="0"/>
      <w:marRight w:val="0"/>
      <w:marTop w:val="0"/>
      <w:marBottom w:val="0"/>
      <w:divBdr>
        <w:top w:val="none" w:sz="0" w:space="0" w:color="auto"/>
        <w:left w:val="none" w:sz="0" w:space="0" w:color="auto"/>
        <w:bottom w:val="none" w:sz="0" w:space="0" w:color="auto"/>
        <w:right w:val="none" w:sz="0" w:space="0" w:color="auto"/>
      </w:divBdr>
    </w:div>
    <w:div w:id="1127770983">
      <w:bodyDiv w:val="1"/>
      <w:marLeft w:val="0"/>
      <w:marRight w:val="0"/>
      <w:marTop w:val="0"/>
      <w:marBottom w:val="0"/>
      <w:divBdr>
        <w:top w:val="none" w:sz="0" w:space="0" w:color="auto"/>
        <w:left w:val="none" w:sz="0" w:space="0" w:color="auto"/>
        <w:bottom w:val="none" w:sz="0" w:space="0" w:color="auto"/>
        <w:right w:val="none" w:sz="0" w:space="0" w:color="auto"/>
      </w:divBdr>
    </w:div>
    <w:div w:id="1229606968">
      <w:bodyDiv w:val="1"/>
      <w:marLeft w:val="0"/>
      <w:marRight w:val="0"/>
      <w:marTop w:val="0"/>
      <w:marBottom w:val="0"/>
      <w:divBdr>
        <w:top w:val="none" w:sz="0" w:space="0" w:color="auto"/>
        <w:left w:val="none" w:sz="0" w:space="0" w:color="auto"/>
        <w:bottom w:val="none" w:sz="0" w:space="0" w:color="auto"/>
        <w:right w:val="none" w:sz="0" w:space="0" w:color="auto"/>
      </w:divBdr>
      <w:divsChild>
        <w:div w:id="148333480">
          <w:marLeft w:val="0"/>
          <w:marRight w:val="547"/>
          <w:marTop w:val="0"/>
          <w:marBottom w:val="0"/>
          <w:divBdr>
            <w:top w:val="none" w:sz="0" w:space="0" w:color="auto"/>
            <w:left w:val="none" w:sz="0" w:space="0" w:color="auto"/>
            <w:bottom w:val="none" w:sz="0" w:space="0" w:color="auto"/>
            <w:right w:val="none" w:sz="0" w:space="0" w:color="auto"/>
          </w:divBdr>
        </w:div>
      </w:divsChild>
    </w:div>
    <w:div w:id="1396783283">
      <w:bodyDiv w:val="1"/>
      <w:marLeft w:val="0"/>
      <w:marRight w:val="0"/>
      <w:marTop w:val="0"/>
      <w:marBottom w:val="0"/>
      <w:divBdr>
        <w:top w:val="none" w:sz="0" w:space="0" w:color="auto"/>
        <w:left w:val="none" w:sz="0" w:space="0" w:color="auto"/>
        <w:bottom w:val="none" w:sz="0" w:space="0" w:color="auto"/>
        <w:right w:val="none" w:sz="0" w:space="0" w:color="auto"/>
      </w:divBdr>
    </w:div>
    <w:div w:id="1667706510">
      <w:bodyDiv w:val="1"/>
      <w:marLeft w:val="0"/>
      <w:marRight w:val="0"/>
      <w:marTop w:val="0"/>
      <w:marBottom w:val="0"/>
      <w:divBdr>
        <w:top w:val="none" w:sz="0" w:space="0" w:color="auto"/>
        <w:left w:val="none" w:sz="0" w:space="0" w:color="auto"/>
        <w:bottom w:val="none" w:sz="0" w:space="0" w:color="auto"/>
        <w:right w:val="none" w:sz="0" w:space="0" w:color="auto"/>
      </w:divBdr>
      <w:divsChild>
        <w:div w:id="33890602">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n:com/abstract%2019990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economia.annales.umcs.p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intl/ar_eg/forms/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32E2-6BAE-4C38-9F2A-7010BAE4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10271</Words>
  <Characters>58546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68680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7rooph 1</dc:creator>
  <cp:lastModifiedBy>hp</cp:lastModifiedBy>
  <cp:revision>2</cp:revision>
  <cp:lastPrinted>2023-05-28T11:06:00Z</cp:lastPrinted>
  <dcterms:created xsi:type="dcterms:W3CDTF">2023-12-24T14:22:00Z</dcterms:created>
  <dcterms:modified xsi:type="dcterms:W3CDTF">2023-12-24T14:22:00Z</dcterms:modified>
</cp:coreProperties>
</file>